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5192" w14:textId="7A9C33AA" w:rsidR="00056415" w:rsidRPr="001470A1" w:rsidRDefault="00056415" w:rsidP="00056415">
      <w:r w:rsidRPr="00067D68">
        <w:rPr>
          <w:noProof/>
          <w:color w:val="FF0000"/>
        </w:rPr>
        <w:drawing>
          <wp:anchor distT="0" distB="0" distL="114300" distR="114300" simplePos="0" relativeHeight="251658240" behindDoc="1" locked="0" layoutInCell="1" allowOverlap="1" wp14:anchorId="083DE5B2" wp14:editId="49A1800E">
            <wp:simplePos x="0" y="0"/>
            <wp:positionH relativeFrom="margin">
              <wp:posOffset>2869961</wp:posOffset>
            </wp:positionH>
            <wp:positionV relativeFrom="paragraph">
              <wp:posOffset>53124</wp:posOffset>
            </wp:positionV>
            <wp:extent cx="2560320" cy="1845945"/>
            <wp:effectExtent l="0" t="0" r="0" b="1905"/>
            <wp:wrapTight wrapText="bothSides">
              <wp:wrapPolygon edited="0">
                <wp:start x="0" y="0"/>
                <wp:lineTo x="0" y="21399"/>
                <wp:lineTo x="21375" y="21399"/>
                <wp:lineTo x="21375" y="0"/>
                <wp:lineTo x="0" y="0"/>
              </wp:wrapPolygon>
            </wp:wrapTight>
            <wp:docPr id="1946769422" name="Obraz 3" descr="Obraz zawierający logo, Czcionka, Grafika,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769422" name="Obraz 3" descr="Obraz zawierający logo, Czcionka, Grafika, symbol&#10;&#10;Zawartość wygenerowana przez sztuczną inteligencję może być niepopraw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0320" cy="1845945"/>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r w:rsidR="00AD4116" w:rsidRPr="001470A1">
        <w:tab/>
      </w:r>
    </w:p>
    <w:p w14:paraId="56D321A8" w14:textId="77777777" w:rsidR="00056415" w:rsidRPr="001470A1" w:rsidRDefault="00056415" w:rsidP="00056415">
      <w:pPr>
        <w:rPr>
          <w:color w:val="171717" w:themeColor="background2" w:themeShade="1A"/>
          <w:sz w:val="44"/>
          <w:szCs w:val="44"/>
        </w:rPr>
      </w:pPr>
    </w:p>
    <w:p w14:paraId="7CBF1F24" w14:textId="77777777" w:rsidR="00056415" w:rsidRPr="001470A1" w:rsidRDefault="00056415" w:rsidP="00056415"/>
    <w:p w14:paraId="4B1AA49C" w14:textId="77777777" w:rsidR="00056415" w:rsidRPr="001470A1" w:rsidRDefault="00056415" w:rsidP="00056415">
      <w:r w:rsidRPr="001470A1">
        <w:tab/>
      </w:r>
    </w:p>
    <w:p w14:paraId="5829CA50" w14:textId="77777777" w:rsidR="00056415" w:rsidRPr="001470A1" w:rsidRDefault="00056415" w:rsidP="00056415"/>
    <w:p w14:paraId="56435081" w14:textId="77777777" w:rsidR="00056415" w:rsidRPr="001470A1" w:rsidRDefault="00056415" w:rsidP="00056415"/>
    <w:p w14:paraId="6F743ED9" w14:textId="77777777" w:rsidR="00056415" w:rsidRPr="001470A1" w:rsidRDefault="00056415" w:rsidP="00056415"/>
    <w:p w14:paraId="599C10CD" w14:textId="77777777" w:rsidR="00056415" w:rsidRPr="001470A1" w:rsidRDefault="00056415" w:rsidP="00056415"/>
    <w:p w14:paraId="533D7FFC" w14:textId="77777777" w:rsidR="00056415" w:rsidRPr="001470A1" w:rsidRDefault="00056415" w:rsidP="00056415"/>
    <w:p w14:paraId="7963B585" w14:textId="77777777" w:rsidR="00056415" w:rsidRPr="001470A1" w:rsidRDefault="00056415" w:rsidP="00056415"/>
    <w:p w14:paraId="01379A65" w14:textId="69AC13CA" w:rsidR="00056415" w:rsidRPr="00D93736" w:rsidRDefault="00D93736" w:rsidP="00D93736">
      <w:pPr>
        <w:tabs>
          <w:tab w:val="left" w:pos="2550"/>
        </w:tabs>
        <w:jc w:val="left"/>
        <w:rPr>
          <w:rFonts w:ascii="Arial" w:hAnsi="Arial" w:cs="Arial"/>
          <w:smallCaps/>
          <w:color w:val="171717" w:themeColor="background2" w:themeShade="1A"/>
          <w:sz w:val="52"/>
          <w:szCs w:val="52"/>
        </w:rPr>
      </w:pPr>
      <w:r>
        <w:rPr>
          <w:rFonts w:ascii="Arial" w:hAnsi="Arial"/>
          <w:smallCaps/>
          <w:color w:val="171717" w:themeColor="background2" w:themeShade="1A"/>
          <w:sz w:val="52"/>
          <w:szCs w:val="52"/>
        </w:rPr>
        <w:tab/>
      </w:r>
    </w:p>
    <w:p w14:paraId="4D2AB788" w14:textId="77777777" w:rsidR="00056415" w:rsidRPr="001470A1" w:rsidRDefault="00056415" w:rsidP="00056415">
      <w:pPr>
        <w:jc w:val="left"/>
        <w:rPr>
          <w:rFonts w:ascii="Arial" w:hAnsi="Arial" w:cs="Arial"/>
          <w:b/>
          <w:bCs/>
          <w:smallCaps/>
          <w:color w:val="171717" w:themeColor="background2" w:themeShade="1A"/>
          <w:sz w:val="52"/>
          <w:szCs w:val="52"/>
        </w:rPr>
      </w:pPr>
    </w:p>
    <w:p w14:paraId="7ACFC800" w14:textId="576BF207" w:rsidR="00056415" w:rsidRPr="001470A1" w:rsidRDefault="001470A1" w:rsidP="001470A1">
      <w:pPr>
        <w:tabs>
          <w:tab w:val="left" w:pos="6015"/>
        </w:tabs>
        <w:jc w:val="left"/>
        <w:rPr>
          <w:rFonts w:ascii="Arial" w:hAnsi="Arial" w:cs="Arial"/>
          <w:b/>
          <w:bCs/>
          <w:smallCaps/>
          <w:color w:val="171717" w:themeColor="background2" w:themeShade="1A"/>
          <w:sz w:val="52"/>
          <w:szCs w:val="52"/>
        </w:rPr>
      </w:pPr>
      <w:r>
        <w:rPr>
          <w:rFonts w:ascii="Arial" w:hAnsi="Arial"/>
          <w:b/>
          <w:bCs/>
          <w:smallCaps/>
          <w:color w:val="171717" w:themeColor="background2" w:themeShade="1A"/>
          <w:sz w:val="52"/>
          <w:szCs w:val="52"/>
        </w:rPr>
        <w:tab/>
      </w:r>
    </w:p>
    <w:p w14:paraId="1038AD60" w14:textId="77777777" w:rsidR="00056415" w:rsidRPr="001470A1" w:rsidRDefault="00056415" w:rsidP="00056415">
      <w:pPr>
        <w:jc w:val="left"/>
        <w:rPr>
          <w:rFonts w:ascii="Arial" w:hAnsi="Arial" w:cs="Arial"/>
          <w:b/>
          <w:bCs/>
          <w:smallCaps/>
          <w:color w:val="171717" w:themeColor="background2" w:themeShade="1A"/>
          <w:sz w:val="52"/>
          <w:szCs w:val="52"/>
        </w:rPr>
      </w:pPr>
    </w:p>
    <w:p w14:paraId="28C2A564" w14:textId="77777777" w:rsidR="00531589" w:rsidRDefault="00531589" w:rsidP="00056415">
      <w:pPr>
        <w:jc w:val="left"/>
        <w:rPr>
          <w:rFonts w:ascii="Arial" w:hAnsi="Arial" w:cs="Arial"/>
          <w:b/>
          <w:bCs/>
          <w:smallCaps/>
          <w:color w:val="171717" w:themeColor="background2" w:themeShade="1A"/>
          <w:sz w:val="52"/>
          <w:szCs w:val="52"/>
        </w:rPr>
      </w:pPr>
    </w:p>
    <w:p w14:paraId="64E6564F" w14:textId="77777777" w:rsidR="00531589" w:rsidRDefault="00531589" w:rsidP="00056415">
      <w:pPr>
        <w:jc w:val="left"/>
        <w:rPr>
          <w:rFonts w:ascii="Arial" w:hAnsi="Arial" w:cs="Arial"/>
          <w:b/>
          <w:bCs/>
          <w:smallCaps/>
          <w:color w:val="171717" w:themeColor="background2" w:themeShade="1A"/>
          <w:sz w:val="52"/>
          <w:szCs w:val="52"/>
        </w:rPr>
      </w:pPr>
    </w:p>
    <w:p w14:paraId="114B4ADF" w14:textId="77777777" w:rsidR="00531589" w:rsidRDefault="00531589" w:rsidP="00056415">
      <w:pPr>
        <w:jc w:val="left"/>
        <w:rPr>
          <w:rFonts w:ascii="Arial" w:hAnsi="Arial" w:cs="Arial"/>
          <w:b/>
          <w:bCs/>
          <w:smallCaps/>
          <w:color w:val="171717" w:themeColor="background2" w:themeShade="1A"/>
          <w:sz w:val="52"/>
          <w:szCs w:val="52"/>
        </w:rPr>
      </w:pPr>
    </w:p>
    <w:p w14:paraId="34F6775B" w14:textId="77777777" w:rsidR="00531589" w:rsidRDefault="00531589" w:rsidP="00056415">
      <w:pPr>
        <w:jc w:val="left"/>
        <w:rPr>
          <w:rFonts w:ascii="Arial" w:hAnsi="Arial" w:cs="Arial"/>
          <w:b/>
          <w:bCs/>
          <w:smallCaps/>
          <w:color w:val="171717" w:themeColor="background2" w:themeShade="1A"/>
          <w:sz w:val="52"/>
          <w:szCs w:val="52"/>
        </w:rPr>
      </w:pPr>
    </w:p>
    <w:p w14:paraId="695FFBA3" w14:textId="6E4DB5A6" w:rsidR="00056415" w:rsidRPr="00B83F35" w:rsidRDefault="005A1E99" w:rsidP="00056415">
      <w:pPr>
        <w:jc w:val="left"/>
        <w:rPr>
          <w:rFonts w:ascii="Arial" w:hAnsi="Arial" w:cs="Arial"/>
          <w:b/>
          <w:bCs/>
          <w:smallCaps/>
          <w:color w:val="171717" w:themeColor="background2" w:themeShade="1A"/>
          <w:sz w:val="52"/>
          <w:szCs w:val="52"/>
        </w:rPr>
      </w:pPr>
      <w:proofErr w:type="spellStart"/>
      <w:r>
        <w:rPr>
          <w:rFonts w:ascii="Arial" w:hAnsi="Arial"/>
          <w:b/>
          <w:smallCaps/>
          <w:color w:val="171717" w:themeColor="background2" w:themeShade="1A"/>
          <w:sz w:val="52"/>
        </w:rPr>
        <w:t>EPM</w:t>
      </w:r>
      <w:proofErr w:type="spellEnd"/>
      <w:r>
        <w:rPr>
          <w:rFonts w:ascii="Arial" w:hAnsi="Arial"/>
          <w:b/>
          <w:smallCaps/>
          <w:color w:val="171717" w:themeColor="background2" w:themeShade="1A"/>
          <w:sz w:val="52"/>
        </w:rPr>
        <w:t xml:space="preserve"> USE CASE</w:t>
      </w:r>
    </w:p>
    <w:p w14:paraId="611EC29B" w14:textId="77777777" w:rsidR="00056415" w:rsidRPr="00B83F35" w:rsidRDefault="00056415" w:rsidP="00056415"/>
    <w:p w14:paraId="3AF8E985" w14:textId="77777777" w:rsidR="00E1383C" w:rsidRPr="00B83F35" w:rsidRDefault="00E1383C" w:rsidP="00D94098">
      <w:pPr>
        <w:rPr>
          <w:rFonts w:ascii="Arial" w:hAnsi="Arial" w:cs="Arial"/>
        </w:rPr>
      </w:pPr>
    </w:p>
    <w:p w14:paraId="09B8B721" w14:textId="77777777" w:rsidR="00F95BD8" w:rsidRPr="00B83F35" w:rsidRDefault="00056415">
      <w:pPr>
        <w:jc w:val="left"/>
        <w:rPr>
          <w:rFonts w:asciiTheme="majorHAnsi" w:eastAsiaTheme="majorEastAsia" w:hAnsiTheme="majorHAnsi" w:cstheme="majorBidi"/>
          <w:color w:val="2E74B5" w:themeColor="accent1" w:themeShade="BF"/>
          <w:sz w:val="40"/>
          <w:szCs w:val="40"/>
        </w:rPr>
      </w:pPr>
      <w:r w:rsidRPr="00B83F35">
        <w:br w:type="page"/>
      </w:r>
    </w:p>
    <w:sdt>
      <w:sdtPr>
        <w:rPr>
          <w:rFonts w:ascii="Arial" w:eastAsiaTheme="minorEastAsia" w:hAnsi="Arial" w:cs="Arial"/>
          <w:noProof/>
          <w:color w:val="auto"/>
          <w:kern w:val="2"/>
          <w:sz w:val="24"/>
          <w:szCs w:val="24"/>
          <w:lang w:eastAsia="en-US"/>
          <w14:ligatures w14:val="standardContextual"/>
        </w:rPr>
        <w:id w:val="250991264"/>
        <w:docPartObj>
          <w:docPartGallery w:val="Table of Contents"/>
          <w:docPartUnique/>
        </w:docPartObj>
      </w:sdtPr>
      <w:sdtContent>
        <w:p w14:paraId="721CD6DE" w14:textId="77777777" w:rsidR="001470A1" w:rsidRPr="00B83F35" w:rsidRDefault="001470A1">
          <w:pPr>
            <w:pStyle w:val="Nagwekspisutreci"/>
            <w:rPr>
              <w:rFonts w:ascii="Arial" w:eastAsiaTheme="minorHAnsi" w:hAnsi="Arial" w:cs="Arial"/>
              <w:color w:val="auto"/>
              <w:kern w:val="2"/>
              <w:sz w:val="24"/>
              <w:szCs w:val="24"/>
              <w14:ligatures w14:val="standardContextual"/>
            </w:rPr>
          </w:pPr>
        </w:p>
        <w:p w14:paraId="65A82F63" w14:textId="77777777" w:rsidR="001470A1" w:rsidRPr="0061251A" w:rsidRDefault="001470A1">
          <w:pPr>
            <w:pStyle w:val="Nagwekspisutreci"/>
            <w:rPr>
              <w:b/>
              <w:color w:val="auto"/>
              <w:kern w:val="2"/>
              <w:sz w:val="40"/>
              <w:szCs w:val="40"/>
              <w14:ligatures w14:val="standardContextual"/>
            </w:rPr>
          </w:pPr>
        </w:p>
        <w:p w14:paraId="0E562F01" w14:textId="6330E403" w:rsidR="00F95BD8" w:rsidRPr="0061251A" w:rsidRDefault="00F95BD8">
          <w:pPr>
            <w:pStyle w:val="Nagwekspisutreci"/>
            <w:rPr>
              <w:b/>
              <w:color w:val="auto"/>
              <w:kern w:val="2"/>
              <w:sz w:val="40"/>
              <w:szCs w:val="40"/>
              <w14:ligatures w14:val="standardContextual"/>
            </w:rPr>
          </w:pPr>
          <w:r>
            <w:rPr>
              <w:b/>
              <w:color w:val="auto"/>
              <w:kern w:val="2"/>
              <w:sz w:val="40"/>
            </w:rPr>
            <w:t>Table of contents</w:t>
          </w:r>
        </w:p>
        <w:p w14:paraId="42C94758" w14:textId="77777777" w:rsidR="00F95BD8" w:rsidRPr="0061251A" w:rsidRDefault="00F95BD8" w:rsidP="00DE5292">
          <w:pPr>
            <w:pStyle w:val="Spistreci1"/>
            <w:rPr>
              <w:sz w:val="18"/>
              <w:szCs w:val="18"/>
            </w:rPr>
          </w:pPr>
        </w:p>
        <w:p w14:paraId="04F9AABB" w14:textId="59D7CB00" w:rsidR="001470A1" w:rsidRPr="00B83F35" w:rsidRDefault="7B6A135C" w:rsidP="6941ADB9">
          <w:pPr>
            <w:pStyle w:val="Spistreci1"/>
            <w:tabs>
              <w:tab w:val="clear" w:pos="9062"/>
              <w:tab w:val="left" w:pos="480"/>
              <w:tab w:val="right" w:leader="dot" w:pos="9060"/>
            </w:tabs>
          </w:pPr>
          <w:r w:rsidRPr="00B83F35">
            <w:fldChar w:fldCharType="begin"/>
          </w:r>
          <w:r>
            <w:instrText>TOC \o "1-3" \z \u \h</w:instrText>
          </w:r>
          <w:r w:rsidRPr="00B83F35">
            <w:fldChar w:fldCharType="separate"/>
          </w:r>
          <w:hyperlink w:anchor="_Toc1779374912" w:history="1">
            <w:r w:rsidR="6941ADB9" w:rsidRPr="6941ADB9">
              <w:rPr>
                <w:rStyle w:val="Hipercze"/>
              </w:rPr>
              <w:t>1.</w:t>
            </w:r>
            <w:r>
              <w:tab/>
            </w:r>
            <w:r w:rsidR="6941ADB9" w:rsidRPr="6941ADB9">
              <w:rPr>
                <w:rStyle w:val="Hipercze"/>
              </w:rPr>
              <w:t>Use case 01: analytical supermarkets</w:t>
            </w:r>
            <w:r>
              <w:tab/>
            </w:r>
            <w:r>
              <w:fldChar w:fldCharType="begin"/>
            </w:r>
            <w:r>
              <w:instrText>PAGEREF _Toc1779374912 \h</w:instrText>
            </w:r>
            <w:r>
              <w:fldChar w:fldCharType="separate"/>
            </w:r>
            <w:r w:rsidR="6941ADB9" w:rsidRPr="6941ADB9">
              <w:rPr>
                <w:rStyle w:val="Hipercze"/>
              </w:rPr>
              <w:t>2</w:t>
            </w:r>
            <w:r>
              <w:fldChar w:fldCharType="end"/>
            </w:r>
          </w:hyperlink>
        </w:p>
        <w:p w14:paraId="791774D0" w14:textId="49E02028" w:rsidR="001470A1" w:rsidRPr="00B83F35" w:rsidRDefault="001470A1" w:rsidP="6941ADB9">
          <w:pPr>
            <w:pStyle w:val="Spistreci1"/>
            <w:tabs>
              <w:tab w:val="clear" w:pos="9062"/>
              <w:tab w:val="left" w:pos="480"/>
              <w:tab w:val="right" w:leader="dot" w:pos="9060"/>
            </w:tabs>
          </w:pPr>
          <w:hyperlink w:anchor="_Toc1645799361" w:history="1">
            <w:r w:rsidR="6941ADB9" w:rsidRPr="6941ADB9">
              <w:rPr>
                <w:rStyle w:val="Hipercze"/>
              </w:rPr>
              <w:t>1.1.</w:t>
            </w:r>
            <w:r>
              <w:tab/>
            </w:r>
            <w:r w:rsidR="6941ADB9" w:rsidRPr="6941ADB9">
              <w:rPr>
                <w:rStyle w:val="Hipercze"/>
              </w:rPr>
              <w:t>Use case specification</w:t>
            </w:r>
            <w:r>
              <w:tab/>
            </w:r>
            <w:r>
              <w:fldChar w:fldCharType="begin"/>
            </w:r>
            <w:r>
              <w:instrText>PAGEREF _Toc1645799361 \h</w:instrText>
            </w:r>
            <w:r>
              <w:fldChar w:fldCharType="separate"/>
            </w:r>
            <w:r w:rsidR="6941ADB9" w:rsidRPr="6941ADB9">
              <w:rPr>
                <w:rStyle w:val="Hipercze"/>
              </w:rPr>
              <w:t>2</w:t>
            </w:r>
            <w:r>
              <w:fldChar w:fldCharType="end"/>
            </w:r>
          </w:hyperlink>
        </w:p>
        <w:p w14:paraId="13E94833" w14:textId="684E1005" w:rsidR="001470A1" w:rsidRPr="00B83F35" w:rsidRDefault="001470A1" w:rsidP="6941ADB9">
          <w:pPr>
            <w:pStyle w:val="Spistreci1"/>
            <w:tabs>
              <w:tab w:val="clear" w:pos="9062"/>
              <w:tab w:val="left" w:pos="480"/>
              <w:tab w:val="right" w:leader="dot" w:pos="9060"/>
            </w:tabs>
          </w:pPr>
          <w:hyperlink w:anchor="_Toc136214122" w:history="1">
            <w:r w:rsidR="6941ADB9" w:rsidRPr="6941ADB9">
              <w:rPr>
                <w:rStyle w:val="Hipercze"/>
              </w:rPr>
              <w:t>1.2.</w:t>
            </w:r>
            <w:r>
              <w:tab/>
            </w:r>
            <w:r w:rsidR="6941ADB9" w:rsidRPr="6941ADB9">
              <w:rPr>
                <w:rStyle w:val="Hipercze"/>
              </w:rPr>
              <w:t>Use case description</w:t>
            </w:r>
            <w:r>
              <w:tab/>
            </w:r>
            <w:r>
              <w:fldChar w:fldCharType="begin"/>
            </w:r>
            <w:r>
              <w:instrText>PAGEREF _Toc136214122 \h</w:instrText>
            </w:r>
            <w:r>
              <w:fldChar w:fldCharType="separate"/>
            </w:r>
            <w:r w:rsidR="6941ADB9" w:rsidRPr="6941ADB9">
              <w:rPr>
                <w:rStyle w:val="Hipercze"/>
              </w:rPr>
              <w:t>2</w:t>
            </w:r>
            <w:r>
              <w:fldChar w:fldCharType="end"/>
            </w:r>
          </w:hyperlink>
        </w:p>
        <w:p w14:paraId="747A5C68" w14:textId="36F73BC4" w:rsidR="001470A1" w:rsidRPr="00B83F35" w:rsidRDefault="001470A1" w:rsidP="6941ADB9">
          <w:pPr>
            <w:pStyle w:val="Spistreci1"/>
            <w:tabs>
              <w:tab w:val="clear" w:pos="9062"/>
              <w:tab w:val="left" w:pos="480"/>
              <w:tab w:val="right" w:leader="dot" w:pos="9060"/>
            </w:tabs>
          </w:pPr>
          <w:hyperlink w:anchor="_Toc1252551324" w:history="1">
            <w:r w:rsidR="6941ADB9" w:rsidRPr="6941ADB9">
              <w:rPr>
                <w:rStyle w:val="Hipercze"/>
              </w:rPr>
              <w:t>2.</w:t>
            </w:r>
            <w:r>
              <w:tab/>
            </w:r>
            <w:r w:rsidR="6941ADB9" w:rsidRPr="6941ADB9">
              <w:rPr>
                <w:rStyle w:val="Hipercze"/>
              </w:rPr>
              <w:t>Use case 02: creation of templates and planning modules</w:t>
            </w:r>
            <w:r>
              <w:tab/>
            </w:r>
            <w:r>
              <w:fldChar w:fldCharType="begin"/>
            </w:r>
            <w:r>
              <w:instrText>PAGEREF _Toc1252551324 \h</w:instrText>
            </w:r>
            <w:r>
              <w:fldChar w:fldCharType="separate"/>
            </w:r>
            <w:r w:rsidR="6941ADB9" w:rsidRPr="6941ADB9">
              <w:rPr>
                <w:rStyle w:val="Hipercze"/>
              </w:rPr>
              <w:t>3</w:t>
            </w:r>
            <w:r>
              <w:fldChar w:fldCharType="end"/>
            </w:r>
          </w:hyperlink>
        </w:p>
        <w:p w14:paraId="77839115" w14:textId="3834FCBA" w:rsidR="001470A1" w:rsidRPr="00B83F35" w:rsidRDefault="001470A1" w:rsidP="6941ADB9">
          <w:pPr>
            <w:pStyle w:val="Spistreci1"/>
            <w:tabs>
              <w:tab w:val="clear" w:pos="9062"/>
              <w:tab w:val="left" w:pos="480"/>
              <w:tab w:val="right" w:leader="dot" w:pos="9060"/>
            </w:tabs>
          </w:pPr>
          <w:hyperlink w:anchor="_Toc301055481" w:history="1">
            <w:r w:rsidR="6941ADB9" w:rsidRPr="6941ADB9">
              <w:rPr>
                <w:rStyle w:val="Hipercze"/>
              </w:rPr>
              <w:t>2.1.</w:t>
            </w:r>
            <w:r>
              <w:tab/>
            </w:r>
            <w:r w:rsidR="6941ADB9" w:rsidRPr="6941ADB9">
              <w:rPr>
                <w:rStyle w:val="Hipercze"/>
              </w:rPr>
              <w:t>Use case specification</w:t>
            </w:r>
            <w:r>
              <w:tab/>
            </w:r>
            <w:r>
              <w:fldChar w:fldCharType="begin"/>
            </w:r>
            <w:r>
              <w:instrText>PAGEREF _Toc301055481 \h</w:instrText>
            </w:r>
            <w:r>
              <w:fldChar w:fldCharType="separate"/>
            </w:r>
            <w:r w:rsidR="6941ADB9" w:rsidRPr="6941ADB9">
              <w:rPr>
                <w:rStyle w:val="Hipercze"/>
              </w:rPr>
              <w:t>4</w:t>
            </w:r>
            <w:r>
              <w:fldChar w:fldCharType="end"/>
            </w:r>
          </w:hyperlink>
        </w:p>
        <w:p w14:paraId="0D61DA8D" w14:textId="59B85010" w:rsidR="001470A1" w:rsidRPr="00B83F35" w:rsidRDefault="001470A1" w:rsidP="6941ADB9">
          <w:pPr>
            <w:pStyle w:val="Spistreci1"/>
            <w:tabs>
              <w:tab w:val="clear" w:pos="9062"/>
              <w:tab w:val="left" w:pos="480"/>
              <w:tab w:val="right" w:leader="dot" w:pos="9060"/>
            </w:tabs>
          </w:pPr>
          <w:hyperlink w:anchor="_Toc1850534457" w:history="1">
            <w:r w:rsidR="6941ADB9" w:rsidRPr="6941ADB9">
              <w:rPr>
                <w:rStyle w:val="Hipercze"/>
              </w:rPr>
              <w:t>2.2.</w:t>
            </w:r>
            <w:r>
              <w:tab/>
            </w:r>
            <w:r w:rsidR="6941ADB9" w:rsidRPr="6941ADB9">
              <w:rPr>
                <w:rStyle w:val="Hipercze"/>
              </w:rPr>
              <w:t>Use case description</w:t>
            </w:r>
            <w:r>
              <w:tab/>
            </w:r>
            <w:r>
              <w:fldChar w:fldCharType="begin"/>
            </w:r>
            <w:r>
              <w:instrText>PAGEREF _Toc1850534457 \h</w:instrText>
            </w:r>
            <w:r>
              <w:fldChar w:fldCharType="separate"/>
            </w:r>
            <w:r w:rsidR="6941ADB9" w:rsidRPr="6941ADB9">
              <w:rPr>
                <w:rStyle w:val="Hipercze"/>
              </w:rPr>
              <w:t>4</w:t>
            </w:r>
            <w:r>
              <w:fldChar w:fldCharType="end"/>
            </w:r>
          </w:hyperlink>
        </w:p>
        <w:p w14:paraId="7E0A19E0" w14:textId="62B6C52D" w:rsidR="001470A1" w:rsidRPr="00B83F35" w:rsidRDefault="001470A1" w:rsidP="6941ADB9">
          <w:pPr>
            <w:pStyle w:val="Spistreci1"/>
            <w:tabs>
              <w:tab w:val="clear" w:pos="9062"/>
              <w:tab w:val="left" w:pos="480"/>
              <w:tab w:val="right" w:leader="dot" w:pos="9060"/>
            </w:tabs>
          </w:pPr>
          <w:hyperlink w:anchor="_Toc2060827002" w:history="1">
            <w:r w:rsidR="6941ADB9" w:rsidRPr="6941ADB9">
              <w:rPr>
                <w:rStyle w:val="Hipercze"/>
              </w:rPr>
              <w:t>3.</w:t>
            </w:r>
            <w:r>
              <w:tab/>
            </w:r>
            <w:r w:rsidR="6941ADB9" w:rsidRPr="6941ADB9">
              <w:rPr>
                <w:rStyle w:val="Hipercze"/>
              </w:rPr>
              <w:t>Use case 03: algorithm development and business validation</w:t>
            </w:r>
            <w:r>
              <w:tab/>
            </w:r>
            <w:r>
              <w:fldChar w:fldCharType="begin"/>
            </w:r>
            <w:r>
              <w:instrText>PAGEREF _Toc2060827002 \h</w:instrText>
            </w:r>
            <w:r>
              <w:fldChar w:fldCharType="separate"/>
            </w:r>
            <w:r w:rsidR="6941ADB9" w:rsidRPr="6941ADB9">
              <w:rPr>
                <w:rStyle w:val="Hipercze"/>
              </w:rPr>
              <w:t>4</w:t>
            </w:r>
            <w:r>
              <w:fldChar w:fldCharType="end"/>
            </w:r>
          </w:hyperlink>
        </w:p>
        <w:p w14:paraId="1154E893" w14:textId="438B1902" w:rsidR="001470A1" w:rsidRPr="00B83F35" w:rsidRDefault="001470A1" w:rsidP="6941ADB9">
          <w:pPr>
            <w:pStyle w:val="Spistreci1"/>
            <w:tabs>
              <w:tab w:val="clear" w:pos="9062"/>
              <w:tab w:val="left" w:pos="480"/>
              <w:tab w:val="right" w:leader="dot" w:pos="9060"/>
            </w:tabs>
          </w:pPr>
          <w:hyperlink w:anchor="_Toc1368697494" w:history="1">
            <w:r w:rsidR="6941ADB9" w:rsidRPr="6941ADB9">
              <w:rPr>
                <w:rStyle w:val="Hipercze"/>
              </w:rPr>
              <w:t>3.1.</w:t>
            </w:r>
            <w:r>
              <w:tab/>
            </w:r>
            <w:r w:rsidR="6941ADB9" w:rsidRPr="6941ADB9">
              <w:rPr>
                <w:rStyle w:val="Hipercze"/>
              </w:rPr>
              <w:t>Use case specification</w:t>
            </w:r>
            <w:r>
              <w:tab/>
            </w:r>
            <w:r>
              <w:fldChar w:fldCharType="begin"/>
            </w:r>
            <w:r>
              <w:instrText>PAGEREF _Toc1368697494 \h</w:instrText>
            </w:r>
            <w:r>
              <w:fldChar w:fldCharType="separate"/>
            </w:r>
            <w:r w:rsidR="6941ADB9" w:rsidRPr="6941ADB9">
              <w:rPr>
                <w:rStyle w:val="Hipercze"/>
              </w:rPr>
              <w:t>5</w:t>
            </w:r>
            <w:r>
              <w:fldChar w:fldCharType="end"/>
            </w:r>
          </w:hyperlink>
        </w:p>
        <w:p w14:paraId="648FB197" w14:textId="258B0871" w:rsidR="001470A1" w:rsidRPr="00B83F35" w:rsidRDefault="001470A1" w:rsidP="6941ADB9">
          <w:pPr>
            <w:pStyle w:val="Spistreci1"/>
            <w:tabs>
              <w:tab w:val="clear" w:pos="9062"/>
              <w:tab w:val="left" w:pos="480"/>
              <w:tab w:val="right" w:leader="dot" w:pos="9060"/>
            </w:tabs>
          </w:pPr>
          <w:hyperlink w:anchor="_Toc2043413067" w:history="1">
            <w:r w:rsidR="6941ADB9" w:rsidRPr="6941ADB9">
              <w:rPr>
                <w:rStyle w:val="Hipercze"/>
              </w:rPr>
              <w:t>3.2.</w:t>
            </w:r>
            <w:r>
              <w:tab/>
            </w:r>
            <w:r w:rsidR="6941ADB9" w:rsidRPr="6941ADB9">
              <w:rPr>
                <w:rStyle w:val="Hipercze"/>
              </w:rPr>
              <w:t>Use case description</w:t>
            </w:r>
            <w:r>
              <w:tab/>
            </w:r>
            <w:r>
              <w:fldChar w:fldCharType="begin"/>
            </w:r>
            <w:r>
              <w:instrText>PAGEREF _Toc2043413067 \h</w:instrText>
            </w:r>
            <w:r>
              <w:fldChar w:fldCharType="separate"/>
            </w:r>
            <w:r w:rsidR="6941ADB9" w:rsidRPr="6941ADB9">
              <w:rPr>
                <w:rStyle w:val="Hipercze"/>
              </w:rPr>
              <w:t>5</w:t>
            </w:r>
            <w:r>
              <w:fldChar w:fldCharType="end"/>
            </w:r>
          </w:hyperlink>
        </w:p>
        <w:p w14:paraId="779CDA93" w14:textId="3F625CAF" w:rsidR="001470A1" w:rsidRPr="00B83F35" w:rsidRDefault="001470A1" w:rsidP="6941ADB9">
          <w:pPr>
            <w:pStyle w:val="Spistreci1"/>
            <w:tabs>
              <w:tab w:val="clear" w:pos="9062"/>
              <w:tab w:val="left" w:pos="480"/>
              <w:tab w:val="right" w:leader="dot" w:pos="9060"/>
            </w:tabs>
          </w:pPr>
          <w:hyperlink w:anchor="_Toc1624052245" w:history="1">
            <w:r w:rsidR="6941ADB9" w:rsidRPr="6941ADB9">
              <w:rPr>
                <w:rStyle w:val="Hipercze"/>
              </w:rPr>
              <w:t>4.</w:t>
            </w:r>
            <w:r>
              <w:tab/>
            </w:r>
            <w:r w:rsidR="6941ADB9" w:rsidRPr="6941ADB9">
              <w:rPr>
                <w:rStyle w:val="Hipercze"/>
              </w:rPr>
              <w:t>Use case 04: the life cycle of plans, scenarios and versioning</w:t>
            </w:r>
            <w:r>
              <w:tab/>
            </w:r>
            <w:r>
              <w:fldChar w:fldCharType="begin"/>
            </w:r>
            <w:r>
              <w:instrText>PAGEREF _Toc1624052245 \h</w:instrText>
            </w:r>
            <w:r>
              <w:fldChar w:fldCharType="separate"/>
            </w:r>
            <w:r w:rsidR="6941ADB9" w:rsidRPr="6941ADB9">
              <w:rPr>
                <w:rStyle w:val="Hipercze"/>
              </w:rPr>
              <w:t>8</w:t>
            </w:r>
            <w:r>
              <w:fldChar w:fldCharType="end"/>
            </w:r>
          </w:hyperlink>
        </w:p>
        <w:p w14:paraId="577A28BF" w14:textId="788F03CE" w:rsidR="001470A1" w:rsidRPr="00B83F35" w:rsidRDefault="001470A1" w:rsidP="6941ADB9">
          <w:pPr>
            <w:pStyle w:val="Spistreci1"/>
            <w:tabs>
              <w:tab w:val="clear" w:pos="9062"/>
              <w:tab w:val="left" w:pos="480"/>
              <w:tab w:val="right" w:leader="dot" w:pos="9060"/>
            </w:tabs>
          </w:pPr>
          <w:hyperlink w:anchor="_Toc126491997" w:history="1">
            <w:r w:rsidR="6941ADB9" w:rsidRPr="6941ADB9">
              <w:rPr>
                <w:rStyle w:val="Hipercze"/>
              </w:rPr>
              <w:t>4.1.</w:t>
            </w:r>
            <w:r>
              <w:tab/>
            </w:r>
            <w:r w:rsidR="6941ADB9" w:rsidRPr="6941ADB9">
              <w:rPr>
                <w:rStyle w:val="Hipercze"/>
              </w:rPr>
              <w:t>Use case specification</w:t>
            </w:r>
            <w:r>
              <w:tab/>
            </w:r>
            <w:r>
              <w:fldChar w:fldCharType="begin"/>
            </w:r>
            <w:r>
              <w:instrText>PAGEREF _Toc126491997 \h</w:instrText>
            </w:r>
            <w:r>
              <w:fldChar w:fldCharType="separate"/>
            </w:r>
            <w:r w:rsidR="6941ADB9" w:rsidRPr="6941ADB9">
              <w:rPr>
                <w:rStyle w:val="Hipercze"/>
              </w:rPr>
              <w:t>9</w:t>
            </w:r>
            <w:r>
              <w:fldChar w:fldCharType="end"/>
            </w:r>
          </w:hyperlink>
        </w:p>
        <w:p w14:paraId="6B007BAE" w14:textId="2C4796FE" w:rsidR="001470A1" w:rsidRPr="00B83F35" w:rsidRDefault="001470A1" w:rsidP="6941ADB9">
          <w:pPr>
            <w:pStyle w:val="Spistreci1"/>
            <w:tabs>
              <w:tab w:val="clear" w:pos="9062"/>
              <w:tab w:val="left" w:pos="480"/>
              <w:tab w:val="right" w:leader="dot" w:pos="9060"/>
            </w:tabs>
          </w:pPr>
          <w:hyperlink w:anchor="_Toc936526779" w:history="1">
            <w:r w:rsidR="6941ADB9" w:rsidRPr="6941ADB9">
              <w:rPr>
                <w:rStyle w:val="Hipercze"/>
              </w:rPr>
              <w:t>4.2.</w:t>
            </w:r>
            <w:r>
              <w:tab/>
            </w:r>
            <w:r w:rsidR="6941ADB9" w:rsidRPr="6941ADB9">
              <w:rPr>
                <w:rStyle w:val="Hipercze"/>
              </w:rPr>
              <w:t>Use case description</w:t>
            </w:r>
            <w:r>
              <w:tab/>
            </w:r>
            <w:r>
              <w:fldChar w:fldCharType="begin"/>
            </w:r>
            <w:r>
              <w:instrText>PAGEREF _Toc936526779 \h</w:instrText>
            </w:r>
            <w:r>
              <w:fldChar w:fldCharType="separate"/>
            </w:r>
            <w:r w:rsidR="6941ADB9" w:rsidRPr="6941ADB9">
              <w:rPr>
                <w:rStyle w:val="Hipercze"/>
              </w:rPr>
              <w:t>9</w:t>
            </w:r>
            <w:r>
              <w:fldChar w:fldCharType="end"/>
            </w:r>
          </w:hyperlink>
        </w:p>
        <w:p w14:paraId="0479FE3C" w14:textId="41C8B6AD" w:rsidR="001470A1" w:rsidRPr="00B83F35" w:rsidRDefault="001470A1" w:rsidP="6941ADB9">
          <w:pPr>
            <w:pStyle w:val="Spistreci1"/>
            <w:tabs>
              <w:tab w:val="clear" w:pos="9062"/>
              <w:tab w:val="left" w:pos="480"/>
              <w:tab w:val="right" w:leader="dot" w:pos="9060"/>
            </w:tabs>
          </w:pPr>
          <w:hyperlink w:anchor="_Toc1067386295" w:history="1">
            <w:r w:rsidR="6941ADB9" w:rsidRPr="6941ADB9">
              <w:rPr>
                <w:rStyle w:val="Hipercze"/>
              </w:rPr>
              <w:t>5.</w:t>
            </w:r>
            <w:r>
              <w:tab/>
            </w:r>
            <w:r w:rsidR="6941ADB9" w:rsidRPr="6941ADB9">
              <w:rPr>
                <w:rStyle w:val="Hipercze"/>
              </w:rPr>
              <w:t>Use case 05: flexibility of plans and investments</w:t>
            </w:r>
            <w:r>
              <w:tab/>
            </w:r>
            <w:r>
              <w:fldChar w:fldCharType="begin"/>
            </w:r>
            <w:r>
              <w:instrText>PAGEREF _Toc1067386295 \h</w:instrText>
            </w:r>
            <w:r>
              <w:fldChar w:fldCharType="separate"/>
            </w:r>
            <w:r w:rsidR="6941ADB9" w:rsidRPr="6941ADB9">
              <w:rPr>
                <w:rStyle w:val="Hipercze"/>
              </w:rPr>
              <w:t>9</w:t>
            </w:r>
            <w:r>
              <w:fldChar w:fldCharType="end"/>
            </w:r>
          </w:hyperlink>
        </w:p>
        <w:p w14:paraId="571AE4EA" w14:textId="5A0AEDCC" w:rsidR="001470A1" w:rsidRPr="00B83F35" w:rsidRDefault="001470A1" w:rsidP="6941ADB9">
          <w:pPr>
            <w:pStyle w:val="Spistreci1"/>
            <w:tabs>
              <w:tab w:val="clear" w:pos="9062"/>
              <w:tab w:val="left" w:pos="480"/>
              <w:tab w:val="right" w:leader="dot" w:pos="9060"/>
            </w:tabs>
          </w:pPr>
          <w:hyperlink w:anchor="_Toc908716910" w:history="1">
            <w:r w:rsidR="6941ADB9" w:rsidRPr="6941ADB9">
              <w:rPr>
                <w:rStyle w:val="Hipercze"/>
              </w:rPr>
              <w:t>5.1.</w:t>
            </w:r>
            <w:r>
              <w:tab/>
            </w:r>
            <w:r w:rsidR="6941ADB9" w:rsidRPr="6941ADB9">
              <w:rPr>
                <w:rStyle w:val="Hipercze"/>
              </w:rPr>
              <w:t>Use case specification</w:t>
            </w:r>
            <w:r>
              <w:tab/>
            </w:r>
            <w:r>
              <w:fldChar w:fldCharType="begin"/>
            </w:r>
            <w:r>
              <w:instrText>PAGEREF _Toc908716910 \h</w:instrText>
            </w:r>
            <w:r>
              <w:fldChar w:fldCharType="separate"/>
            </w:r>
            <w:r w:rsidR="6941ADB9" w:rsidRPr="6941ADB9">
              <w:rPr>
                <w:rStyle w:val="Hipercze"/>
              </w:rPr>
              <w:t>10</w:t>
            </w:r>
            <w:r>
              <w:fldChar w:fldCharType="end"/>
            </w:r>
          </w:hyperlink>
        </w:p>
        <w:p w14:paraId="3DCCC9C9" w14:textId="36F674DF" w:rsidR="001470A1" w:rsidRPr="00B83F35" w:rsidRDefault="001470A1" w:rsidP="6941ADB9">
          <w:pPr>
            <w:pStyle w:val="Spistreci1"/>
            <w:tabs>
              <w:tab w:val="clear" w:pos="9062"/>
              <w:tab w:val="left" w:pos="480"/>
              <w:tab w:val="right" w:leader="dot" w:pos="9060"/>
            </w:tabs>
          </w:pPr>
          <w:hyperlink w:anchor="_Toc904168023" w:history="1">
            <w:r w:rsidR="6941ADB9" w:rsidRPr="6941ADB9">
              <w:rPr>
                <w:rStyle w:val="Hipercze"/>
              </w:rPr>
              <w:t>5.2.</w:t>
            </w:r>
            <w:r>
              <w:tab/>
            </w:r>
            <w:r w:rsidR="6941ADB9" w:rsidRPr="6941ADB9">
              <w:rPr>
                <w:rStyle w:val="Hipercze"/>
              </w:rPr>
              <w:t>Use case description</w:t>
            </w:r>
            <w:r>
              <w:tab/>
            </w:r>
            <w:r>
              <w:fldChar w:fldCharType="begin"/>
            </w:r>
            <w:r>
              <w:instrText>PAGEREF _Toc904168023 \h</w:instrText>
            </w:r>
            <w:r>
              <w:fldChar w:fldCharType="separate"/>
            </w:r>
            <w:r w:rsidR="6941ADB9" w:rsidRPr="6941ADB9">
              <w:rPr>
                <w:rStyle w:val="Hipercze"/>
              </w:rPr>
              <w:t>10</w:t>
            </w:r>
            <w:r>
              <w:fldChar w:fldCharType="end"/>
            </w:r>
          </w:hyperlink>
        </w:p>
        <w:p w14:paraId="6453BC17" w14:textId="7A0BE2D8" w:rsidR="001470A1" w:rsidRPr="00B83F35" w:rsidRDefault="001470A1" w:rsidP="6941ADB9">
          <w:pPr>
            <w:pStyle w:val="Spistreci1"/>
            <w:tabs>
              <w:tab w:val="clear" w:pos="9062"/>
              <w:tab w:val="left" w:pos="480"/>
              <w:tab w:val="right" w:leader="dot" w:pos="9060"/>
            </w:tabs>
          </w:pPr>
          <w:hyperlink w:anchor="_Toc204768155" w:history="1">
            <w:r w:rsidR="6941ADB9" w:rsidRPr="6941ADB9">
              <w:rPr>
                <w:rStyle w:val="Hipercze"/>
              </w:rPr>
              <w:t>6.</w:t>
            </w:r>
            <w:r>
              <w:tab/>
            </w:r>
            <w:r w:rsidR="6941ADB9" w:rsidRPr="6941ADB9">
              <w:rPr>
                <w:rStyle w:val="Hipercze"/>
              </w:rPr>
              <w:t>Use case 06: taxes</w:t>
            </w:r>
            <w:r>
              <w:tab/>
            </w:r>
            <w:r>
              <w:fldChar w:fldCharType="begin"/>
            </w:r>
            <w:r>
              <w:instrText>PAGEREF _Toc204768155 \h</w:instrText>
            </w:r>
            <w:r>
              <w:fldChar w:fldCharType="separate"/>
            </w:r>
            <w:r w:rsidR="6941ADB9" w:rsidRPr="6941ADB9">
              <w:rPr>
                <w:rStyle w:val="Hipercze"/>
              </w:rPr>
              <w:t>11</w:t>
            </w:r>
            <w:r>
              <w:fldChar w:fldCharType="end"/>
            </w:r>
          </w:hyperlink>
        </w:p>
        <w:p w14:paraId="7466099F" w14:textId="4AA128EF" w:rsidR="001470A1" w:rsidRPr="00B83F35" w:rsidRDefault="001470A1" w:rsidP="6941ADB9">
          <w:pPr>
            <w:pStyle w:val="Spistreci1"/>
            <w:tabs>
              <w:tab w:val="clear" w:pos="9062"/>
              <w:tab w:val="left" w:pos="480"/>
              <w:tab w:val="right" w:leader="dot" w:pos="9060"/>
            </w:tabs>
          </w:pPr>
          <w:hyperlink w:anchor="_Toc990721615" w:history="1">
            <w:r w:rsidR="6941ADB9" w:rsidRPr="6941ADB9">
              <w:rPr>
                <w:rStyle w:val="Hipercze"/>
              </w:rPr>
              <w:t>6.1.</w:t>
            </w:r>
            <w:r>
              <w:tab/>
            </w:r>
            <w:r w:rsidR="6941ADB9" w:rsidRPr="6941ADB9">
              <w:rPr>
                <w:rStyle w:val="Hipercze"/>
              </w:rPr>
              <w:t>Use case specification</w:t>
            </w:r>
            <w:r>
              <w:tab/>
            </w:r>
            <w:r>
              <w:fldChar w:fldCharType="begin"/>
            </w:r>
            <w:r>
              <w:instrText>PAGEREF _Toc990721615 \h</w:instrText>
            </w:r>
            <w:r>
              <w:fldChar w:fldCharType="separate"/>
            </w:r>
            <w:r w:rsidR="6941ADB9" w:rsidRPr="6941ADB9">
              <w:rPr>
                <w:rStyle w:val="Hipercze"/>
              </w:rPr>
              <w:t>12</w:t>
            </w:r>
            <w:r>
              <w:fldChar w:fldCharType="end"/>
            </w:r>
          </w:hyperlink>
        </w:p>
        <w:p w14:paraId="098BFE4B" w14:textId="0A6E795E" w:rsidR="001470A1" w:rsidRPr="00B83F35" w:rsidRDefault="001470A1" w:rsidP="6941ADB9">
          <w:pPr>
            <w:pStyle w:val="Spistreci1"/>
            <w:tabs>
              <w:tab w:val="clear" w:pos="9062"/>
              <w:tab w:val="left" w:pos="480"/>
              <w:tab w:val="right" w:leader="dot" w:pos="9060"/>
            </w:tabs>
          </w:pPr>
          <w:hyperlink w:anchor="_Toc90206563" w:history="1">
            <w:r w:rsidR="6941ADB9" w:rsidRPr="6941ADB9">
              <w:rPr>
                <w:rStyle w:val="Hipercze"/>
              </w:rPr>
              <w:t>6.2.</w:t>
            </w:r>
            <w:r>
              <w:tab/>
            </w:r>
            <w:r w:rsidR="6941ADB9" w:rsidRPr="6941ADB9">
              <w:rPr>
                <w:rStyle w:val="Hipercze"/>
              </w:rPr>
              <w:t>Use case description</w:t>
            </w:r>
            <w:r>
              <w:tab/>
            </w:r>
            <w:r>
              <w:fldChar w:fldCharType="begin"/>
            </w:r>
            <w:r>
              <w:instrText>PAGEREF _Toc90206563 \h</w:instrText>
            </w:r>
            <w:r>
              <w:fldChar w:fldCharType="separate"/>
            </w:r>
            <w:r w:rsidR="6941ADB9" w:rsidRPr="6941ADB9">
              <w:rPr>
                <w:rStyle w:val="Hipercze"/>
              </w:rPr>
              <w:t>12</w:t>
            </w:r>
            <w:r>
              <w:fldChar w:fldCharType="end"/>
            </w:r>
          </w:hyperlink>
        </w:p>
        <w:p w14:paraId="66EA945E" w14:textId="32071818" w:rsidR="001470A1" w:rsidRPr="00B83F35" w:rsidRDefault="001470A1" w:rsidP="6941ADB9">
          <w:pPr>
            <w:pStyle w:val="Spistreci1"/>
            <w:tabs>
              <w:tab w:val="clear" w:pos="9062"/>
              <w:tab w:val="left" w:pos="480"/>
              <w:tab w:val="right" w:leader="dot" w:pos="9060"/>
            </w:tabs>
          </w:pPr>
          <w:hyperlink w:anchor="_Toc299577712" w:history="1">
            <w:r w:rsidR="6941ADB9" w:rsidRPr="6941ADB9">
              <w:rPr>
                <w:rStyle w:val="Hipercze"/>
              </w:rPr>
              <w:t>7.</w:t>
            </w:r>
            <w:r>
              <w:tab/>
            </w:r>
            <w:r w:rsidR="6941ADB9" w:rsidRPr="6941ADB9">
              <w:rPr>
                <w:rStyle w:val="Hipercze"/>
              </w:rPr>
              <w:t>Use case 07: changes to the rules for scenarios and periods</w:t>
            </w:r>
            <w:r>
              <w:tab/>
            </w:r>
            <w:r>
              <w:fldChar w:fldCharType="begin"/>
            </w:r>
            <w:r>
              <w:instrText>PAGEREF _Toc299577712 \h</w:instrText>
            </w:r>
            <w:r>
              <w:fldChar w:fldCharType="separate"/>
            </w:r>
            <w:r w:rsidR="6941ADB9" w:rsidRPr="6941ADB9">
              <w:rPr>
                <w:rStyle w:val="Hipercze"/>
              </w:rPr>
              <w:t>12</w:t>
            </w:r>
            <w:r>
              <w:fldChar w:fldCharType="end"/>
            </w:r>
          </w:hyperlink>
        </w:p>
        <w:p w14:paraId="37879FB0" w14:textId="2C90A5F1" w:rsidR="001470A1" w:rsidRPr="00B83F35" w:rsidRDefault="001470A1" w:rsidP="6941ADB9">
          <w:pPr>
            <w:pStyle w:val="Spistreci1"/>
            <w:tabs>
              <w:tab w:val="clear" w:pos="9062"/>
              <w:tab w:val="left" w:pos="480"/>
              <w:tab w:val="right" w:leader="dot" w:pos="9060"/>
            </w:tabs>
          </w:pPr>
          <w:hyperlink w:anchor="_Toc956576663" w:history="1">
            <w:r w:rsidR="6941ADB9" w:rsidRPr="6941ADB9">
              <w:rPr>
                <w:rStyle w:val="Hipercze"/>
              </w:rPr>
              <w:t>7.1.</w:t>
            </w:r>
            <w:r>
              <w:tab/>
            </w:r>
            <w:r w:rsidR="6941ADB9" w:rsidRPr="6941ADB9">
              <w:rPr>
                <w:rStyle w:val="Hipercze"/>
              </w:rPr>
              <w:t>Use case specification</w:t>
            </w:r>
            <w:r>
              <w:tab/>
            </w:r>
            <w:r>
              <w:fldChar w:fldCharType="begin"/>
            </w:r>
            <w:r>
              <w:instrText>PAGEREF _Toc956576663 \h</w:instrText>
            </w:r>
            <w:r>
              <w:fldChar w:fldCharType="separate"/>
            </w:r>
            <w:r w:rsidR="6941ADB9" w:rsidRPr="6941ADB9">
              <w:rPr>
                <w:rStyle w:val="Hipercze"/>
              </w:rPr>
              <w:t>13</w:t>
            </w:r>
            <w:r>
              <w:fldChar w:fldCharType="end"/>
            </w:r>
          </w:hyperlink>
        </w:p>
        <w:p w14:paraId="5AA73B84" w14:textId="5AB28BDD" w:rsidR="001470A1" w:rsidRPr="00B83F35" w:rsidRDefault="001470A1" w:rsidP="6941ADB9">
          <w:pPr>
            <w:pStyle w:val="Spistreci1"/>
            <w:tabs>
              <w:tab w:val="clear" w:pos="9062"/>
              <w:tab w:val="left" w:pos="480"/>
              <w:tab w:val="right" w:leader="dot" w:pos="9060"/>
            </w:tabs>
          </w:pPr>
          <w:hyperlink w:anchor="_Toc402910940" w:history="1">
            <w:r w:rsidR="6941ADB9" w:rsidRPr="6941ADB9">
              <w:rPr>
                <w:rStyle w:val="Hipercze"/>
              </w:rPr>
              <w:t>7.2.</w:t>
            </w:r>
            <w:r>
              <w:tab/>
            </w:r>
            <w:r w:rsidR="6941ADB9" w:rsidRPr="6941ADB9">
              <w:rPr>
                <w:rStyle w:val="Hipercze"/>
              </w:rPr>
              <w:t>Use case description</w:t>
            </w:r>
            <w:r>
              <w:tab/>
            </w:r>
            <w:r>
              <w:fldChar w:fldCharType="begin"/>
            </w:r>
            <w:r>
              <w:instrText>PAGEREF _Toc402910940 \h</w:instrText>
            </w:r>
            <w:r>
              <w:fldChar w:fldCharType="separate"/>
            </w:r>
            <w:r w:rsidR="6941ADB9" w:rsidRPr="6941ADB9">
              <w:rPr>
                <w:rStyle w:val="Hipercze"/>
              </w:rPr>
              <w:t>13</w:t>
            </w:r>
            <w:r>
              <w:fldChar w:fldCharType="end"/>
            </w:r>
          </w:hyperlink>
        </w:p>
        <w:p w14:paraId="5CA3209A" w14:textId="292CC031" w:rsidR="001470A1" w:rsidRPr="00B83F35" w:rsidRDefault="001470A1" w:rsidP="6941ADB9">
          <w:pPr>
            <w:pStyle w:val="Spistreci1"/>
            <w:tabs>
              <w:tab w:val="clear" w:pos="9062"/>
              <w:tab w:val="left" w:pos="480"/>
              <w:tab w:val="right" w:leader="dot" w:pos="9060"/>
            </w:tabs>
          </w:pPr>
          <w:hyperlink w:anchor="_Toc1255995001" w:history="1">
            <w:r w:rsidR="6941ADB9" w:rsidRPr="6941ADB9">
              <w:rPr>
                <w:rStyle w:val="Hipercze"/>
              </w:rPr>
              <w:t>8.</w:t>
            </w:r>
            <w:r>
              <w:tab/>
            </w:r>
            <w:r w:rsidR="6941ADB9" w:rsidRPr="6941ADB9">
              <w:rPr>
                <w:rStyle w:val="Hipercze"/>
              </w:rPr>
              <w:t>Use case 08: analysis of financial results, trends and variances</w:t>
            </w:r>
            <w:r>
              <w:tab/>
            </w:r>
            <w:r>
              <w:fldChar w:fldCharType="begin"/>
            </w:r>
            <w:r>
              <w:instrText>PAGEREF _Toc1255995001 \h</w:instrText>
            </w:r>
            <w:r>
              <w:fldChar w:fldCharType="separate"/>
            </w:r>
            <w:r w:rsidR="6941ADB9" w:rsidRPr="6941ADB9">
              <w:rPr>
                <w:rStyle w:val="Hipercze"/>
              </w:rPr>
              <w:t>14</w:t>
            </w:r>
            <w:r>
              <w:fldChar w:fldCharType="end"/>
            </w:r>
          </w:hyperlink>
        </w:p>
        <w:p w14:paraId="79269221" w14:textId="7AB795E2" w:rsidR="001470A1" w:rsidRPr="00B83F35" w:rsidRDefault="001470A1" w:rsidP="6941ADB9">
          <w:pPr>
            <w:pStyle w:val="Spistreci1"/>
            <w:tabs>
              <w:tab w:val="clear" w:pos="9062"/>
              <w:tab w:val="left" w:pos="480"/>
              <w:tab w:val="right" w:leader="dot" w:pos="9060"/>
            </w:tabs>
          </w:pPr>
          <w:hyperlink w:anchor="_Toc1255413049" w:history="1">
            <w:r w:rsidR="6941ADB9" w:rsidRPr="6941ADB9">
              <w:rPr>
                <w:rStyle w:val="Hipercze"/>
              </w:rPr>
              <w:t>8.1.</w:t>
            </w:r>
            <w:r>
              <w:tab/>
            </w:r>
            <w:r w:rsidR="6941ADB9" w:rsidRPr="6941ADB9">
              <w:rPr>
                <w:rStyle w:val="Hipercze"/>
              </w:rPr>
              <w:t>Use case specification</w:t>
            </w:r>
            <w:r>
              <w:tab/>
            </w:r>
            <w:r>
              <w:fldChar w:fldCharType="begin"/>
            </w:r>
            <w:r>
              <w:instrText>PAGEREF _Toc1255413049 \h</w:instrText>
            </w:r>
            <w:r>
              <w:fldChar w:fldCharType="separate"/>
            </w:r>
            <w:r w:rsidR="6941ADB9" w:rsidRPr="6941ADB9">
              <w:rPr>
                <w:rStyle w:val="Hipercze"/>
              </w:rPr>
              <w:t>15</w:t>
            </w:r>
            <w:r>
              <w:fldChar w:fldCharType="end"/>
            </w:r>
          </w:hyperlink>
        </w:p>
        <w:p w14:paraId="2706E139" w14:textId="63E95683" w:rsidR="001470A1" w:rsidRPr="00B83F35" w:rsidRDefault="001470A1" w:rsidP="6941ADB9">
          <w:pPr>
            <w:pStyle w:val="Spistreci1"/>
            <w:tabs>
              <w:tab w:val="clear" w:pos="9062"/>
              <w:tab w:val="left" w:pos="480"/>
              <w:tab w:val="right" w:leader="dot" w:pos="9060"/>
            </w:tabs>
          </w:pPr>
          <w:hyperlink w:anchor="_Toc936079137" w:history="1">
            <w:r w:rsidR="6941ADB9" w:rsidRPr="6941ADB9">
              <w:rPr>
                <w:rStyle w:val="Hipercze"/>
              </w:rPr>
              <w:t>8.2.</w:t>
            </w:r>
            <w:r>
              <w:tab/>
            </w:r>
            <w:r w:rsidR="6941ADB9" w:rsidRPr="6941ADB9">
              <w:rPr>
                <w:rStyle w:val="Hipercze"/>
              </w:rPr>
              <w:t>Use case description</w:t>
            </w:r>
            <w:r>
              <w:tab/>
            </w:r>
            <w:r>
              <w:fldChar w:fldCharType="begin"/>
            </w:r>
            <w:r>
              <w:instrText>PAGEREF _Toc936079137 \h</w:instrText>
            </w:r>
            <w:r>
              <w:fldChar w:fldCharType="separate"/>
            </w:r>
            <w:r w:rsidR="6941ADB9" w:rsidRPr="6941ADB9">
              <w:rPr>
                <w:rStyle w:val="Hipercze"/>
              </w:rPr>
              <w:t>15</w:t>
            </w:r>
            <w:r>
              <w:fldChar w:fldCharType="end"/>
            </w:r>
          </w:hyperlink>
        </w:p>
        <w:p w14:paraId="7061A7A1" w14:textId="46E81A70" w:rsidR="7B6A135C" w:rsidRDefault="7B6A135C" w:rsidP="7B6A135C">
          <w:pPr>
            <w:pStyle w:val="Spistreci1"/>
            <w:tabs>
              <w:tab w:val="clear" w:pos="9062"/>
              <w:tab w:val="right" w:leader="dot" w:pos="9060"/>
            </w:tabs>
            <w:rPr>
              <w:rStyle w:val="Hipercze"/>
            </w:rPr>
          </w:pPr>
          <w:r w:rsidRPr="00B83F35">
            <w:rPr>
              <w:sz w:val="16"/>
              <w:szCs w:val="16"/>
            </w:rPr>
            <w:fldChar w:fldCharType="end"/>
          </w:r>
        </w:p>
      </w:sdtContent>
    </w:sdt>
    <w:p w14:paraId="1B55EDD1" w14:textId="10363B44" w:rsidR="00F95BD8" w:rsidRDefault="00F95BD8"/>
    <w:p w14:paraId="0805DDD1" w14:textId="77777777" w:rsidR="007F68FD" w:rsidRDefault="007F68FD">
      <w:pPr>
        <w:jc w:val="left"/>
        <w:rPr>
          <w:rFonts w:ascii="Arial" w:eastAsiaTheme="majorEastAsia" w:hAnsi="Arial" w:cstheme="majorBidi"/>
          <w:b/>
          <w:bCs/>
        </w:rPr>
      </w:pPr>
      <w:bookmarkStart w:id="0" w:name="_Toc1779374912"/>
      <w:r>
        <w:rPr>
          <w:rFonts w:ascii="Arial" w:hAnsi="Arial"/>
          <w:b/>
          <w:bCs/>
        </w:rPr>
        <w:br w:type="page"/>
      </w:r>
    </w:p>
    <w:p w14:paraId="725873DE" w14:textId="715FECA1" w:rsidR="000054CB" w:rsidRPr="00B55437" w:rsidRDefault="00D93736" w:rsidP="6941ADB9">
      <w:pPr>
        <w:pStyle w:val="Nagwek1"/>
        <w:numPr>
          <w:ilvl w:val="0"/>
          <w:numId w:val="41"/>
        </w:numPr>
        <w:spacing w:before="0" w:after="0" w:line="240" w:lineRule="auto"/>
        <w:rPr>
          <w:rFonts w:ascii="Arial" w:hAnsi="Arial" w:cs="Arial"/>
          <w:b/>
          <w:bCs/>
          <w:color w:val="auto"/>
          <w:sz w:val="22"/>
          <w:szCs w:val="22"/>
        </w:rPr>
      </w:pPr>
      <w:r w:rsidRPr="6941ADB9">
        <w:rPr>
          <w:rFonts w:ascii="Arial" w:hAnsi="Arial"/>
          <w:b/>
          <w:bCs/>
          <w:color w:val="auto"/>
          <w:sz w:val="22"/>
          <w:szCs w:val="22"/>
        </w:rPr>
        <w:lastRenderedPageBreak/>
        <w:t xml:space="preserve">Use case 01: </w:t>
      </w:r>
      <w:r w:rsidR="0DA9F6F8" w:rsidRPr="6941ADB9">
        <w:rPr>
          <w:rFonts w:ascii="Arial" w:hAnsi="Arial"/>
          <w:b/>
          <w:bCs/>
          <w:color w:val="auto"/>
          <w:sz w:val="22"/>
          <w:szCs w:val="22"/>
        </w:rPr>
        <w:t>a</w:t>
      </w:r>
      <w:bookmarkStart w:id="1" w:name="_Hlk235709056"/>
      <w:r w:rsidRPr="6941ADB9">
        <w:rPr>
          <w:rFonts w:ascii="Arial" w:hAnsi="Arial"/>
          <w:b/>
          <w:bCs/>
          <w:color w:val="auto"/>
          <w:sz w:val="22"/>
          <w:szCs w:val="22"/>
        </w:rPr>
        <w:t>nalytical supermarkets</w:t>
      </w:r>
      <w:bookmarkEnd w:id="0"/>
      <w:r w:rsidRPr="6941ADB9">
        <w:rPr>
          <w:rFonts w:ascii="Arial" w:hAnsi="Arial"/>
          <w:b/>
          <w:bCs/>
          <w:color w:val="auto"/>
          <w:sz w:val="22"/>
          <w:szCs w:val="22"/>
        </w:rPr>
        <w:t xml:space="preserve"> </w:t>
      </w:r>
      <w:bookmarkEnd w:id="1"/>
    </w:p>
    <w:p w14:paraId="4661F4D9" w14:textId="77777777" w:rsidR="000054CB" w:rsidRPr="00B55437" w:rsidRDefault="000054CB" w:rsidP="000054CB">
      <w:pPr>
        <w:rPr>
          <w:rFonts w:ascii="Arial" w:hAnsi="Arial" w:cs="Arial"/>
        </w:rPr>
      </w:pPr>
    </w:p>
    <w:p w14:paraId="36FB0392" w14:textId="67A53C23" w:rsidR="000054CB" w:rsidRPr="00B55437" w:rsidRDefault="000054CB" w:rsidP="00F576B2">
      <w:pPr>
        <w:pStyle w:val="Nagwek1"/>
        <w:numPr>
          <w:ilvl w:val="1"/>
          <w:numId w:val="41"/>
        </w:numPr>
        <w:spacing w:before="0" w:after="120" w:line="240" w:lineRule="auto"/>
        <w:ind w:left="431" w:hanging="431"/>
        <w:rPr>
          <w:rFonts w:ascii="Arial" w:hAnsi="Arial" w:cs="Arial"/>
          <w:b/>
          <w:bCs/>
          <w:color w:val="auto"/>
          <w:sz w:val="22"/>
          <w:szCs w:val="22"/>
        </w:rPr>
      </w:pPr>
      <w:bookmarkStart w:id="2" w:name="_Toc1645799361"/>
      <w:bookmarkStart w:id="3" w:name="_Hlk235709100"/>
      <w:r w:rsidRPr="6941ADB9">
        <w:rPr>
          <w:rFonts w:ascii="Arial" w:hAnsi="Arial"/>
          <w:b/>
          <w:bCs/>
          <w:color w:val="auto"/>
          <w:sz w:val="22"/>
          <w:szCs w:val="22"/>
        </w:rPr>
        <w:t>Use case specification</w:t>
      </w:r>
      <w:bookmarkEnd w:id="2"/>
      <w:r w:rsidRPr="6941ADB9">
        <w:rPr>
          <w:rFonts w:ascii="Arial" w:hAnsi="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9"/>
        <w:gridCol w:w="1276"/>
        <w:gridCol w:w="6657"/>
      </w:tblGrid>
      <w:tr w:rsidR="001B3CF2" w:rsidRPr="00B55437" w14:paraId="1242DA4F" w14:textId="77777777" w:rsidTr="00F20F5E">
        <w:tc>
          <w:tcPr>
            <w:tcW w:w="1129" w:type="dxa"/>
            <w:vMerge w:val="restart"/>
            <w:shd w:val="clear" w:color="auto" w:fill="C00000"/>
            <w:vAlign w:val="center"/>
          </w:tcPr>
          <w:bookmarkEnd w:id="3"/>
          <w:p w14:paraId="5704C8E5" w14:textId="77777777" w:rsidR="001B3CF2" w:rsidRPr="00B55437" w:rsidRDefault="001B3CF2">
            <w:pPr>
              <w:jc w:val="center"/>
              <w:rPr>
                <w:rFonts w:ascii="Arial" w:hAnsi="Arial" w:cs="Arial"/>
                <w:smallCaps/>
                <w:color w:val="FFFFFF" w:themeColor="background1"/>
              </w:rPr>
            </w:pPr>
            <w:r>
              <w:rPr>
                <w:rFonts w:ascii="Arial" w:hAnsi="Arial"/>
                <w:smallCaps/>
                <w:color w:val="FFFFFF" w:themeColor="background1"/>
              </w:rPr>
              <w:t>case no.</w:t>
            </w:r>
          </w:p>
        </w:tc>
        <w:tc>
          <w:tcPr>
            <w:tcW w:w="7933" w:type="dxa"/>
            <w:gridSpan w:val="2"/>
            <w:shd w:val="clear" w:color="auto" w:fill="C00000"/>
            <w:vAlign w:val="center"/>
          </w:tcPr>
          <w:p w14:paraId="6D9BEF93" w14:textId="77777777" w:rsidR="001B3CF2" w:rsidRPr="00B55437" w:rsidRDefault="001B3CF2">
            <w:pPr>
              <w:jc w:val="center"/>
              <w:rPr>
                <w:rFonts w:ascii="Arial" w:hAnsi="Arial" w:cs="Arial"/>
                <w:smallCaps/>
                <w:color w:val="FFFFFF" w:themeColor="background1"/>
              </w:rPr>
            </w:pPr>
            <w:r>
              <w:rPr>
                <w:rFonts w:ascii="Arial" w:hAnsi="Arial"/>
                <w:smallCaps/>
                <w:color w:val="FFFFFF" w:themeColor="background1"/>
              </w:rPr>
              <w:t>functionality</w:t>
            </w:r>
          </w:p>
        </w:tc>
      </w:tr>
      <w:tr w:rsidR="001B3CF2" w:rsidRPr="00B55437" w14:paraId="0086170C" w14:textId="77777777" w:rsidTr="00F20F5E">
        <w:tc>
          <w:tcPr>
            <w:tcW w:w="1129" w:type="dxa"/>
            <w:vMerge/>
            <w:shd w:val="clear" w:color="auto" w:fill="C00000"/>
            <w:vAlign w:val="center"/>
          </w:tcPr>
          <w:p w14:paraId="29BDBE93" w14:textId="77777777" w:rsidR="001B3CF2" w:rsidRPr="00B55437" w:rsidRDefault="001B3CF2">
            <w:pPr>
              <w:jc w:val="center"/>
              <w:rPr>
                <w:rFonts w:ascii="Arial" w:hAnsi="Arial" w:cs="Arial"/>
                <w:smallCaps/>
                <w:color w:val="FFFFFF" w:themeColor="background1"/>
              </w:rPr>
            </w:pPr>
          </w:p>
        </w:tc>
        <w:tc>
          <w:tcPr>
            <w:tcW w:w="1276" w:type="dxa"/>
            <w:shd w:val="clear" w:color="auto" w:fill="C00000"/>
            <w:vAlign w:val="center"/>
          </w:tcPr>
          <w:p w14:paraId="6F44D7E1" w14:textId="77777777" w:rsidR="001B3CF2" w:rsidRPr="00B55437" w:rsidRDefault="001B3CF2">
            <w:pPr>
              <w:jc w:val="center"/>
              <w:rPr>
                <w:rFonts w:ascii="Arial" w:hAnsi="Arial" w:cs="Arial"/>
                <w:smallCaps/>
                <w:color w:val="FFFFFF" w:themeColor="background1"/>
              </w:rPr>
            </w:pPr>
            <w:r>
              <w:rPr>
                <w:rFonts w:ascii="Arial" w:hAnsi="Arial"/>
                <w:smallCaps/>
                <w:color w:val="FFFFFF" w:themeColor="background1"/>
              </w:rPr>
              <w:t>letter symbols</w:t>
            </w:r>
          </w:p>
        </w:tc>
        <w:tc>
          <w:tcPr>
            <w:tcW w:w="6657" w:type="dxa"/>
            <w:shd w:val="clear" w:color="auto" w:fill="C00000"/>
            <w:vAlign w:val="center"/>
          </w:tcPr>
          <w:p w14:paraId="3F1AC1B5" w14:textId="77777777" w:rsidR="001B3CF2" w:rsidRPr="00B55437" w:rsidRDefault="001B3CF2">
            <w:pPr>
              <w:jc w:val="center"/>
              <w:rPr>
                <w:rFonts w:ascii="Arial" w:hAnsi="Arial" w:cs="Arial"/>
                <w:smallCaps/>
                <w:color w:val="FFFFFF" w:themeColor="background1"/>
              </w:rPr>
            </w:pPr>
            <w:r>
              <w:rPr>
                <w:rFonts w:ascii="Arial" w:hAnsi="Arial"/>
                <w:smallCaps/>
                <w:color w:val="FFFFFF" w:themeColor="background1"/>
              </w:rPr>
              <w:t>Name of the functionality</w:t>
            </w:r>
          </w:p>
        </w:tc>
      </w:tr>
      <w:tr w:rsidR="001B2671" w:rsidRPr="00B55437" w14:paraId="09623128" w14:textId="77777777" w:rsidTr="00F20F5E">
        <w:tc>
          <w:tcPr>
            <w:tcW w:w="1129" w:type="dxa"/>
            <w:vMerge w:val="restart"/>
            <w:vAlign w:val="center"/>
          </w:tcPr>
          <w:p w14:paraId="332ED61E" w14:textId="58882142" w:rsidR="001B2671" w:rsidRPr="00B55437" w:rsidRDefault="001B2671">
            <w:pPr>
              <w:jc w:val="center"/>
              <w:rPr>
                <w:rFonts w:ascii="Arial" w:hAnsi="Arial" w:cs="Arial"/>
                <w:i/>
                <w:smallCaps/>
                <w:color w:val="171717" w:themeColor="background2" w:themeShade="1A"/>
              </w:rPr>
            </w:pPr>
            <w:r>
              <w:rPr>
                <w:rFonts w:ascii="Arial" w:hAnsi="Arial"/>
                <w:i/>
                <w:smallCaps/>
                <w:color w:val="171717" w:themeColor="background2" w:themeShade="1A"/>
              </w:rPr>
              <w:t>01</w:t>
            </w:r>
          </w:p>
        </w:tc>
        <w:tc>
          <w:tcPr>
            <w:tcW w:w="1276" w:type="dxa"/>
            <w:vAlign w:val="center"/>
          </w:tcPr>
          <w:p w14:paraId="26D8FD91" w14:textId="798BDF2D" w:rsidR="001B2671" w:rsidRPr="00B55437" w:rsidRDefault="001B2671">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B7</w:t>
            </w:r>
            <w:proofErr w:type="spellEnd"/>
          </w:p>
        </w:tc>
        <w:tc>
          <w:tcPr>
            <w:tcW w:w="6657" w:type="dxa"/>
          </w:tcPr>
          <w:p w14:paraId="6D845949" w14:textId="3054BEEF" w:rsidR="001B2671" w:rsidRPr="00B55437" w:rsidRDefault="001B2671">
            <w:pPr>
              <w:rPr>
                <w:rFonts w:ascii="Arial" w:hAnsi="Arial" w:cs="Arial"/>
                <w:i/>
                <w:iCs/>
                <w:smallCaps/>
                <w:color w:val="171717" w:themeColor="background2" w:themeShade="1A"/>
              </w:rPr>
            </w:pPr>
            <w:r>
              <w:rPr>
                <w:rFonts w:ascii="Arial" w:hAnsi="Arial"/>
                <w:i/>
                <w:smallCaps/>
                <w:color w:val="171717" w:themeColor="background2" w:themeShade="1A"/>
              </w:rPr>
              <w:t>On-demand analytical supermarkets: these enable datasets to be grouped into domains, making them accessible to business users without the need for programming, in accordance with assigned permissions.</w:t>
            </w:r>
          </w:p>
        </w:tc>
      </w:tr>
      <w:tr w:rsidR="001B2671" w:rsidRPr="00B55437" w14:paraId="13E634D7" w14:textId="77777777" w:rsidTr="00F20F5E">
        <w:tc>
          <w:tcPr>
            <w:tcW w:w="1129" w:type="dxa"/>
            <w:vMerge/>
            <w:vAlign w:val="center"/>
          </w:tcPr>
          <w:p w14:paraId="34040F27" w14:textId="77777777" w:rsidR="001B2671" w:rsidRPr="00B55437" w:rsidRDefault="001B2671">
            <w:pPr>
              <w:jc w:val="center"/>
              <w:rPr>
                <w:rFonts w:ascii="Arial" w:hAnsi="Arial" w:cs="Arial"/>
                <w:i/>
                <w:iCs/>
                <w:smallCaps/>
                <w:color w:val="171717" w:themeColor="background2" w:themeShade="1A"/>
              </w:rPr>
            </w:pPr>
          </w:p>
        </w:tc>
        <w:tc>
          <w:tcPr>
            <w:tcW w:w="1276" w:type="dxa"/>
            <w:vAlign w:val="center"/>
          </w:tcPr>
          <w:p w14:paraId="1AC62C47" w14:textId="0D3C23C7" w:rsidR="001B2671" w:rsidRPr="00B55437" w:rsidRDefault="001B2671" w:rsidP="00B27E9F">
            <w:pPr>
              <w:jc w:val="center"/>
              <w:rPr>
                <w:rFonts w:ascii="Arial" w:hAnsi="Arial" w:cs="Arial"/>
                <w:i/>
                <w:smallCaps/>
                <w:color w:val="171717" w:themeColor="background2" w:themeShade="1A"/>
              </w:rPr>
            </w:pPr>
            <w:r>
              <w:rPr>
                <w:rFonts w:ascii="Arial" w:hAnsi="Arial"/>
                <w:i/>
                <w:smallCaps/>
                <w:color w:val="171717" w:themeColor="background2" w:themeShade="1A"/>
              </w:rPr>
              <w:t xml:space="preserve">K2 </w:t>
            </w:r>
          </w:p>
        </w:tc>
        <w:tc>
          <w:tcPr>
            <w:tcW w:w="6657" w:type="dxa"/>
          </w:tcPr>
          <w:p w14:paraId="3F9D62DB" w14:textId="421509C8" w:rsidR="001B2671" w:rsidRPr="00B55437" w:rsidRDefault="001B2671">
            <w:pPr>
              <w:rPr>
                <w:rFonts w:ascii="Arial" w:hAnsi="Arial" w:cs="Arial"/>
                <w:i/>
                <w:iCs/>
                <w:smallCaps/>
                <w:color w:val="171717" w:themeColor="background2" w:themeShade="1A"/>
              </w:rPr>
            </w:pPr>
            <w:r>
              <w:rPr>
                <w:rFonts w:ascii="Arial" w:hAnsi="Arial"/>
                <w:i/>
                <w:smallCaps/>
                <w:color w:val="171717" w:themeColor="background2" w:themeShade="1A"/>
              </w:rPr>
              <w:t>Availability of on-demand analytical supermarkets offering customisable tools designed for business users.</w:t>
            </w:r>
          </w:p>
        </w:tc>
      </w:tr>
    </w:tbl>
    <w:p w14:paraId="49C00FB8" w14:textId="77777777" w:rsidR="000054CB" w:rsidRPr="00B55437" w:rsidRDefault="000054CB" w:rsidP="000054CB">
      <w:pPr>
        <w:rPr>
          <w:rFonts w:ascii="Arial" w:hAnsi="Arial" w:cs="Arial"/>
          <w:i/>
          <w:iCs/>
          <w:smallCaps/>
          <w:color w:val="171717" w:themeColor="background2" w:themeShade="1A"/>
        </w:rPr>
      </w:pPr>
    </w:p>
    <w:p w14:paraId="6827DB43" w14:textId="1395E002" w:rsidR="000054CB" w:rsidRPr="00B55437" w:rsidRDefault="000054CB" w:rsidP="00F576B2">
      <w:pPr>
        <w:pStyle w:val="Nagwek1"/>
        <w:numPr>
          <w:ilvl w:val="1"/>
          <w:numId w:val="41"/>
        </w:numPr>
        <w:spacing w:before="0" w:after="120" w:line="240" w:lineRule="auto"/>
        <w:ind w:left="431" w:hanging="431"/>
        <w:rPr>
          <w:rFonts w:ascii="Arial" w:hAnsi="Arial" w:cs="Arial"/>
          <w:b/>
          <w:bCs/>
          <w:color w:val="auto"/>
          <w:sz w:val="22"/>
          <w:szCs w:val="22"/>
        </w:rPr>
      </w:pPr>
      <w:bookmarkStart w:id="4" w:name="_Toc136214122"/>
      <w:r w:rsidRPr="6941ADB9">
        <w:rPr>
          <w:rFonts w:ascii="Arial" w:hAnsi="Arial"/>
          <w:b/>
          <w:bCs/>
          <w:color w:val="auto"/>
          <w:sz w:val="22"/>
          <w:szCs w:val="22"/>
        </w:rPr>
        <w:t>Use case description</w:t>
      </w:r>
      <w:bookmarkEnd w:id="4"/>
      <w:r w:rsidRPr="6941ADB9">
        <w:rPr>
          <w:rFonts w:ascii="Arial" w:hAnsi="Arial"/>
          <w:b/>
          <w:bCs/>
          <w:color w:val="auto"/>
          <w:sz w:val="22"/>
          <w:szCs w:val="22"/>
        </w:rPr>
        <w:t xml:space="preserve"> </w:t>
      </w:r>
    </w:p>
    <w:p w14:paraId="0167F6D4" w14:textId="537EC8E2" w:rsidR="00B47CCB" w:rsidRDefault="00B47CCB">
      <w:r w:rsidRPr="0ACB65A7">
        <w:rPr>
          <w:rFonts w:ascii="Arial" w:hAnsi="Arial"/>
        </w:rPr>
        <w:t xml:space="preserve">We </w:t>
      </w:r>
      <w:r w:rsidR="33BD24A4" w:rsidRPr="0ACB65A7">
        <w:rPr>
          <w:rFonts w:ascii="Arial" w:hAnsi="Arial"/>
        </w:rPr>
        <w:t>expect that</w:t>
      </w:r>
      <w:r w:rsidRPr="0ACB65A7">
        <w:rPr>
          <w:rFonts w:ascii="Arial" w:hAnsi="Arial"/>
        </w:rPr>
        <w:t xml:space="preserve"> a planner, manager or analyst to make use of standard planning, reporting and analytical modules – either pre-built or created in </w:t>
      </w:r>
      <w:proofErr w:type="spellStart"/>
      <w:r w:rsidRPr="0ACB65A7">
        <w:rPr>
          <w:rFonts w:ascii="Arial" w:hAnsi="Arial"/>
        </w:rPr>
        <w:t>EPM</w:t>
      </w:r>
      <w:proofErr w:type="spellEnd"/>
      <w:r w:rsidRPr="0ACB65A7">
        <w:rPr>
          <w:rFonts w:ascii="Arial" w:hAnsi="Arial"/>
        </w:rPr>
        <w:t xml:space="preserve"> by authorised users – for example in the following areas:</w:t>
      </w:r>
    </w:p>
    <w:p w14:paraId="2AE57CEF" w14:textId="121EF763" w:rsidR="00280A74" w:rsidRPr="00B55437" w:rsidRDefault="00E93EE2" w:rsidP="0022699D">
      <w:pPr>
        <w:pStyle w:val="Akapitzlist"/>
        <w:numPr>
          <w:ilvl w:val="0"/>
          <w:numId w:val="5"/>
        </w:numPr>
        <w:spacing w:before="120" w:after="120" w:line="240" w:lineRule="auto"/>
        <w:ind w:left="1423" w:hanging="357"/>
        <w:contextualSpacing w:val="0"/>
        <w:rPr>
          <w:rFonts w:ascii="Arial" w:hAnsi="Arial" w:cs="Arial"/>
        </w:rPr>
      </w:pPr>
      <w:r>
        <w:rPr>
          <w:rFonts w:ascii="Arial" w:hAnsi="Arial"/>
        </w:rPr>
        <w:t>planning: e.g. modules for planning leases, tangible asset investments, recognising impairments, planning prices/cost items, sources of funding, LIFO, scenario building,</w:t>
      </w:r>
    </w:p>
    <w:p w14:paraId="571A565E" w14:textId="2FA175B0" w:rsidR="00C25E30" w:rsidRPr="00B55437" w:rsidRDefault="00280A74" w:rsidP="0022699D">
      <w:pPr>
        <w:pStyle w:val="Akapitzlist"/>
        <w:numPr>
          <w:ilvl w:val="0"/>
          <w:numId w:val="5"/>
        </w:numPr>
        <w:spacing w:before="120" w:after="120" w:line="240" w:lineRule="auto"/>
        <w:ind w:left="1423" w:hanging="357"/>
        <w:contextualSpacing w:val="0"/>
        <w:rPr>
          <w:rFonts w:ascii="Arial" w:hAnsi="Arial" w:cs="Arial"/>
        </w:rPr>
      </w:pPr>
      <w:r>
        <w:rPr>
          <w:rFonts w:ascii="Arial" w:hAnsi="Arial"/>
        </w:rPr>
        <w:t xml:space="preserve">reporting: e.g. pre-defined reports, </w:t>
      </w:r>
      <w:proofErr w:type="spellStart"/>
      <w:r>
        <w:rPr>
          <w:rFonts w:ascii="Arial" w:hAnsi="Arial"/>
        </w:rPr>
        <w:t>KPIs</w:t>
      </w:r>
      <w:proofErr w:type="spellEnd"/>
      <w:r>
        <w:rPr>
          <w:rFonts w:ascii="Arial" w:hAnsi="Arial"/>
        </w:rPr>
        <w:t xml:space="preserve"> for selected areas of activity,</w:t>
      </w:r>
    </w:p>
    <w:p w14:paraId="5FD1F2AF" w14:textId="7D00F795" w:rsidR="005C5182" w:rsidRPr="00B55437" w:rsidRDefault="00C25E30" w:rsidP="0022699D">
      <w:pPr>
        <w:pStyle w:val="Akapitzlist"/>
        <w:numPr>
          <w:ilvl w:val="0"/>
          <w:numId w:val="5"/>
        </w:numPr>
        <w:spacing w:line="240" w:lineRule="auto"/>
        <w:rPr>
          <w:rFonts w:ascii="Arial" w:hAnsi="Arial" w:cs="Arial"/>
        </w:rPr>
      </w:pPr>
      <w:r>
        <w:rPr>
          <w:rFonts w:ascii="Arial" w:hAnsi="Arial"/>
        </w:rPr>
        <w:t>analyses: e.g. predefined formulas for calculating root cause analyses as part of variance analysis, assessment of the profitability of selected business areas, products and distribution channels,</w:t>
      </w:r>
    </w:p>
    <w:p w14:paraId="36981FA5" w14:textId="77777777" w:rsidR="00B47CCB" w:rsidRDefault="00B47CCB">
      <w:r>
        <w:rPr>
          <w:rFonts w:ascii="Arial" w:hAnsi="Arial"/>
        </w:rPr>
        <w:t>which will be made available to users and which can be utilised in the aforementioned processes without the need for complex, case-by-case configuration or rebuilding of the solution by the user or administrator. From the user’s perspective, the process should, in principle, consist solely of specifying the new scope and process in which the solution provided is to be, or may be, applied.</w:t>
      </w:r>
    </w:p>
    <w:p w14:paraId="49FC0554" w14:textId="1D12A03E" w:rsidR="00632EEF" w:rsidRPr="00B55437" w:rsidRDefault="00D3780F" w:rsidP="000054CB">
      <w:pPr>
        <w:rPr>
          <w:rFonts w:ascii="Arial" w:hAnsi="Arial" w:cs="Arial"/>
        </w:rPr>
      </w:pPr>
      <w:r>
        <w:rPr>
          <w:rFonts w:ascii="Arial" w:hAnsi="Arial"/>
        </w:rPr>
        <w:t>The specified scope of functionality should be illustrated with the following example:</w:t>
      </w:r>
    </w:p>
    <w:p w14:paraId="77EC84BF" w14:textId="2D4F0BB4" w:rsidR="002B1B61" w:rsidRPr="00B55437" w:rsidRDefault="003B1A92" w:rsidP="00A546E2">
      <w:pPr>
        <w:pStyle w:val="Akapitzlist"/>
        <w:numPr>
          <w:ilvl w:val="0"/>
          <w:numId w:val="6"/>
        </w:numPr>
        <w:rPr>
          <w:rFonts w:ascii="Arial" w:hAnsi="Arial" w:cs="Arial"/>
        </w:rPr>
      </w:pPr>
      <w:r>
        <w:rPr>
          <w:rFonts w:ascii="Arial" w:hAnsi="Arial"/>
        </w:rPr>
        <w:t>system-wide predefined ready-made system solutions: e.g. a native module for planning, covering leasing, consolidation, cost planning and setting MBO targets,</w:t>
      </w:r>
    </w:p>
    <w:p w14:paraId="5EAD1C39" w14:textId="77777777" w:rsidR="00B47CCB" w:rsidRPr="00B47CCB" w:rsidRDefault="00B47CCB" w:rsidP="00B47CCB">
      <w:pPr>
        <w:pStyle w:val="Akapitzlist"/>
        <w:numPr>
          <w:ilvl w:val="0"/>
          <w:numId w:val="6"/>
        </w:numPr>
        <w:rPr>
          <w:rFonts w:ascii="Arial" w:hAnsi="Arial" w:cs="Arial"/>
        </w:rPr>
      </w:pPr>
      <w:r>
        <w:rPr>
          <w:rFonts w:ascii="Arial" w:hAnsi="Arial"/>
        </w:rPr>
        <w:t>ways of making algorithms available on the marketplace; here, using the example pricing formula given below:</w:t>
      </w:r>
    </w:p>
    <w:p w14:paraId="0A1D6421" w14:textId="77777777" w:rsidR="002B1B61" w:rsidRPr="00B55437" w:rsidRDefault="002B1B61" w:rsidP="001A6BF9">
      <w:pPr>
        <w:pStyle w:val="Akapitzlist"/>
        <w:keepNext/>
        <w:spacing w:before="240" w:after="120"/>
        <w:rPr>
          <w:rFonts w:ascii="Arial" w:hAnsi="Arial" w:cs="Arial"/>
          <w:i/>
          <w:color w:val="44546A" w:themeColor="text2"/>
        </w:rPr>
      </w:pPr>
    </w:p>
    <w:p w14:paraId="70DA86BB" w14:textId="057B830F" w:rsidR="001A6BF9" w:rsidRPr="00B55437" w:rsidRDefault="001A6BF9" w:rsidP="001A6BF9">
      <w:pPr>
        <w:pStyle w:val="Akapitzlist"/>
        <w:keepNext/>
        <w:spacing w:before="240" w:after="120"/>
        <w:rPr>
          <w:rFonts w:ascii="Arial" w:hAnsi="Arial" w:cs="Arial"/>
          <w:i/>
          <w:u w:val="single"/>
        </w:rPr>
      </w:pPr>
      <w:r>
        <w:rPr>
          <w:rFonts w:ascii="Arial" w:hAnsi="Arial"/>
          <w:i/>
          <w:color w:val="44546A" w:themeColor="text2"/>
        </w:rPr>
        <w:t xml:space="preserve">Equation </w:t>
      </w:r>
      <w:r w:rsidRPr="00B55437">
        <w:rPr>
          <w:rFonts w:ascii="Arial" w:hAnsi="Arial"/>
          <w:i/>
        </w:rPr>
        <w:t>Selling</w:t>
      </w:r>
      <w:r>
        <w:rPr>
          <w:rFonts w:ascii="Arial" w:hAnsi="Arial"/>
          <w:i/>
          <w:color w:val="44546A" w:themeColor="text2"/>
        </w:rPr>
        <w:t xml:space="preserve"> price</w:t>
      </w:r>
      <w:r w:rsidRPr="00B55437">
        <w:rPr>
          <w:rFonts w:ascii="Arial" w:hAnsi="Arial" w:cs="Arial"/>
          <w:i/>
          <w:color w:val="44546A" w:themeColor="text2"/>
        </w:rPr>
        <w:fldChar w:fldCharType="begin"/>
      </w:r>
      <w:r w:rsidRPr="00B55437">
        <w:rPr>
          <w:rFonts w:ascii="Arial" w:hAnsi="Arial" w:cs="Arial"/>
          <w:i/>
          <w:color w:val="44546A" w:themeColor="text2"/>
        </w:rPr>
        <w:instrText xml:space="preserve"> SEQ Równanie \* ARABIC </w:instrText>
      </w:r>
      <w:r w:rsidRPr="00B55437">
        <w:rPr>
          <w:rFonts w:ascii="Arial" w:hAnsi="Arial" w:cs="Arial"/>
          <w:i/>
          <w:color w:val="44546A" w:themeColor="text2"/>
        </w:rPr>
        <w:fldChar w:fldCharType="separate"/>
      </w:r>
      <w:r w:rsidRPr="00B55437">
        <w:rPr>
          <w:rFonts w:ascii="Arial" w:hAnsi="Arial" w:cs="Arial"/>
          <w:i/>
          <w:color w:val="44546A" w:themeColor="text2"/>
        </w:rPr>
        <w:fldChar w:fldCharType="end"/>
      </w:r>
    </w:p>
    <w:p w14:paraId="0A6FB6D6" w14:textId="77777777" w:rsidR="001A6BF9" w:rsidRPr="00B55437" w:rsidRDefault="00000000" w:rsidP="001A6BF9">
      <w:pPr>
        <w:pStyle w:val="Akapitzlist"/>
        <w:spacing w:line="360" w:lineRule="auto"/>
        <w:rPr>
          <w:rFonts w:ascii="Arial" w:hAnsi="Arial" w:cs="Arial"/>
        </w:rPr>
      </w:pPr>
      <m:oMathPara>
        <m:oMath>
          <m:sSub>
            <m:sSubPr>
              <m:ctrlPr>
                <w:rPr>
                  <w:rFonts w:ascii="Cambria Math" w:hAnsi="Cambria Math" w:cs="Arial"/>
                  <w:i/>
                </w:rPr>
              </m:ctrlPr>
            </m:sSubPr>
            <m:e>
              <m:r>
                <w:rPr>
                  <w:rFonts w:ascii="Cambria Math" w:hAnsi="Cambria Math"/>
                </w:rPr>
                <m:t>P</m:t>
              </m:r>
            </m:e>
            <m:sub>
              <m:r>
                <m:rPr>
                  <m:sty m:val="p"/>
                </m:rPr>
                <w:rPr>
                  <w:rFonts w:ascii="Cambria Math" w:hAnsi="Cambria Math"/>
                  <w:vertAlign w:val="subscript"/>
                </w:rPr>
                <m:t>p,m/y</m:t>
              </m:r>
            </m:sub>
          </m:sSub>
          <m:r>
            <w:rPr>
              <w:rFonts w:ascii="Cambria Math" w:hAnsi="Cambria Math"/>
            </w:rPr>
            <m:t>=</m:t>
          </m:r>
          <m:sSub>
            <m:sSubPr>
              <m:ctrlPr>
                <w:rPr>
                  <w:rFonts w:ascii="Cambria Math" w:hAnsi="Cambria Math" w:cs="Arial"/>
                </w:rPr>
              </m:ctrlPr>
            </m:sSubPr>
            <m:e>
              <m:r>
                <w:rPr>
                  <w:rFonts w:ascii="Cambria Math" w:hAnsi="Cambria Math"/>
                </w:rPr>
                <m:t>Q</m:t>
              </m:r>
            </m:e>
            <m:sub>
              <m:r>
                <m:rPr>
                  <m:sty m:val="p"/>
                </m:rPr>
                <w:rPr>
                  <w:rFonts w:ascii="Cambria Math" w:hAnsi="Cambria Math"/>
                  <w:vertAlign w:val="subscript"/>
                </w:rPr>
                <m:t>p,m/y</m:t>
              </m:r>
            </m:sub>
          </m:sSub>
          <m:r>
            <w:rPr>
              <w:rFonts w:ascii="Cambria Math" w:hAnsi="Cambria Math"/>
            </w:rPr>
            <m:t>+</m:t>
          </m:r>
          <m:d>
            <m:dPr>
              <m:ctrlPr>
                <w:rPr>
                  <w:rFonts w:ascii="Cambria Math" w:hAnsi="Cambria Math" w:cs="Arial"/>
                  <w:i/>
                </w:rPr>
              </m:ctrlPr>
            </m:dPr>
            <m:e>
              <m:sSub>
                <m:sSubPr>
                  <m:ctrlPr>
                    <w:rPr>
                      <w:rFonts w:ascii="Cambria Math" w:hAnsi="Cambria Math" w:cs="Arial"/>
                      <w:i/>
                    </w:rPr>
                  </m:ctrlPr>
                </m:sSubPr>
                <m:e>
                  <m:r>
                    <w:rPr>
                      <w:rFonts w:ascii="Cambria Math" w:hAnsi="Cambria Math"/>
                    </w:rPr>
                    <m:t>LMG</m:t>
                  </m:r>
                </m:e>
                <m:sub>
                  <m:r>
                    <w:rPr>
                      <w:rFonts w:ascii="Cambria Math" w:hAnsi="Cambria Math"/>
                    </w:rPr>
                    <m:t>p,m/y</m:t>
                  </m:r>
                </m:sub>
              </m:sSub>
              <m:r>
                <w:rPr>
                  <w:rFonts w:ascii="Cambria Math" w:hAnsi="Cambria Math"/>
                </w:rPr>
                <m:t>*X</m:t>
              </m:r>
            </m:e>
          </m:d>
          <m:r>
            <w:rPr>
              <w:rFonts w:ascii="Cambria Math" w:hAnsi="Cambria Math"/>
            </w:rPr>
            <m:t>+</m:t>
          </m:r>
          <m:d>
            <m:dPr>
              <m:ctrlPr>
                <w:rPr>
                  <w:rFonts w:ascii="Cambria Math" w:hAnsi="Cambria Math" w:cs="Arial"/>
                  <w:i/>
                </w:rPr>
              </m:ctrlPr>
            </m:dPr>
            <m:e>
              <m:r>
                <w:rPr>
                  <w:rFonts w:ascii="Cambria Math" w:hAnsi="Cambria Math"/>
                </w:rPr>
                <m:t>M*X</m:t>
              </m:r>
            </m:e>
          </m:d>
        </m:oMath>
      </m:oMathPara>
    </w:p>
    <w:p w14:paraId="168D974B" w14:textId="64AFF33B" w:rsidR="001A6BF9" w:rsidRPr="00B55437" w:rsidRDefault="001A6BF9" w:rsidP="00F57AED">
      <w:pPr>
        <w:spacing w:after="0"/>
        <w:ind w:firstLine="709"/>
        <w:jc w:val="left"/>
        <w:rPr>
          <w:rFonts w:ascii="Arial" w:hAnsi="Arial" w:cs="Arial"/>
        </w:rPr>
      </w:pPr>
      <w:r>
        <w:rPr>
          <w:rFonts w:ascii="Arial" w:hAnsi="Arial"/>
          <w:b/>
        </w:rPr>
        <w:t xml:space="preserve">Q </w:t>
      </w:r>
      <w:proofErr w:type="spellStart"/>
      <w:r>
        <w:rPr>
          <w:rFonts w:ascii="Arial" w:hAnsi="Arial"/>
          <w:vertAlign w:val="subscript"/>
        </w:rPr>
        <w:t>p,m</w:t>
      </w:r>
      <w:proofErr w:type="spellEnd"/>
      <w:r>
        <w:rPr>
          <w:rFonts w:ascii="Arial" w:hAnsi="Arial"/>
          <w:vertAlign w:val="subscript"/>
        </w:rPr>
        <w:t>/y</w:t>
      </w:r>
      <w:r>
        <w:rPr>
          <w:rFonts w:ascii="Arial" w:hAnsi="Arial"/>
          <w:b/>
        </w:rPr>
        <w:t xml:space="preserve"> – </w:t>
      </w:r>
      <w:r w:rsidRPr="00B55437">
        <w:rPr>
          <w:rFonts w:ascii="Arial" w:hAnsi="Arial"/>
        </w:rPr>
        <w:t>planned</w:t>
      </w:r>
      <w:r>
        <w:rPr>
          <w:rFonts w:ascii="Arial" w:hAnsi="Arial"/>
        </w:rPr>
        <w:t xml:space="preserve"> listing of product (p) in month (m) / year (y),</w:t>
      </w:r>
    </w:p>
    <w:p w14:paraId="50F1C9A0" w14:textId="77777777" w:rsidR="001A6BF9" w:rsidRPr="00B55437" w:rsidRDefault="001A6BF9" w:rsidP="00F576B2">
      <w:pPr>
        <w:pStyle w:val="Akapitzlist"/>
        <w:spacing w:after="0" w:line="240" w:lineRule="auto"/>
        <w:contextualSpacing w:val="0"/>
        <w:rPr>
          <w:rFonts w:ascii="Arial" w:hAnsi="Arial" w:cs="Arial"/>
        </w:rPr>
      </w:pPr>
      <w:r>
        <w:rPr>
          <w:rFonts w:ascii="Arial" w:hAnsi="Arial"/>
          <w:b/>
          <w:i/>
        </w:rPr>
        <w:t>P</w:t>
      </w:r>
      <w:r>
        <w:rPr>
          <w:rFonts w:ascii="Arial" w:hAnsi="Arial"/>
          <w:vertAlign w:val="subscript"/>
        </w:rPr>
        <w:t xml:space="preserve"> </w:t>
      </w:r>
      <w:proofErr w:type="spellStart"/>
      <w:r>
        <w:rPr>
          <w:rFonts w:ascii="Arial" w:hAnsi="Arial"/>
          <w:vertAlign w:val="subscript"/>
        </w:rPr>
        <w:t>p,m</w:t>
      </w:r>
      <w:proofErr w:type="spellEnd"/>
      <w:r>
        <w:rPr>
          <w:rFonts w:ascii="Arial" w:hAnsi="Arial"/>
          <w:vertAlign w:val="subscript"/>
        </w:rPr>
        <w:t>/y</w:t>
      </w:r>
      <w:r>
        <w:rPr>
          <w:rFonts w:ascii="Arial" w:hAnsi="Arial"/>
          <w:i/>
        </w:rPr>
        <w:t xml:space="preserve"> – </w:t>
      </w:r>
      <w:r w:rsidRPr="00B55437">
        <w:rPr>
          <w:rFonts w:ascii="Arial" w:hAnsi="Arial"/>
        </w:rPr>
        <w:t>unit selling price of goods (p) in month (m) / year (y),</w:t>
      </w:r>
    </w:p>
    <w:p w14:paraId="66D0CD7F" w14:textId="77777777" w:rsidR="001A6BF9" w:rsidRPr="00B55437" w:rsidRDefault="001A6BF9" w:rsidP="00F576B2">
      <w:pPr>
        <w:pStyle w:val="Akapitzlist"/>
        <w:spacing w:after="0" w:line="240" w:lineRule="auto"/>
        <w:contextualSpacing w:val="0"/>
        <w:rPr>
          <w:rFonts w:ascii="Arial" w:hAnsi="Arial" w:cs="Arial"/>
        </w:rPr>
      </w:pPr>
      <w:proofErr w:type="spellStart"/>
      <w:r>
        <w:rPr>
          <w:rFonts w:ascii="Arial" w:hAnsi="Arial"/>
          <w:b/>
        </w:rPr>
        <w:t>LMG</w:t>
      </w:r>
      <w:proofErr w:type="spellEnd"/>
      <w:r>
        <w:rPr>
          <w:rFonts w:ascii="Arial" w:hAnsi="Arial"/>
          <w:b/>
        </w:rPr>
        <w:t xml:space="preserve"> </w:t>
      </w:r>
      <w:proofErr w:type="spellStart"/>
      <w:r>
        <w:rPr>
          <w:rFonts w:ascii="Arial" w:hAnsi="Arial"/>
          <w:vertAlign w:val="subscript"/>
        </w:rPr>
        <w:t>p,m</w:t>
      </w:r>
      <w:proofErr w:type="spellEnd"/>
      <w:r>
        <w:rPr>
          <w:rFonts w:ascii="Arial" w:hAnsi="Arial"/>
          <w:vertAlign w:val="subscript"/>
        </w:rPr>
        <w:t>/y</w:t>
      </w:r>
      <w:r w:rsidRPr="00B55437">
        <w:rPr>
          <w:rFonts w:ascii="Arial" w:hAnsi="Arial"/>
        </w:rPr>
        <w:t xml:space="preserve"> – the marginal cost of transporting goods (p) to the customer in month (m) / year (y),</w:t>
      </w:r>
    </w:p>
    <w:p w14:paraId="2D89407B" w14:textId="77777777" w:rsidR="00E1383C" w:rsidRPr="00B55437" w:rsidRDefault="001A6BF9" w:rsidP="00F576B2">
      <w:pPr>
        <w:pStyle w:val="Akapitzlist"/>
        <w:spacing w:after="0" w:line="240" w:lineRule="auto"/>
        <w:contextualSpacing w:val="0"/>
        <w:rPr>
          <w:rFonts w:ascii="Arial" w:hAnsi="Arial" w:cs="Arial"/>
        </w:rPr>
      </w:pPr>
      <w:r>
        <w:rPr>
          <w:rFonts w:ascii="Arial" w:hAnsi="Arial"/>
          <w:b/>
        </w:rPr>
        <w:t>M</w:t>
      </w:r>
      <w:r w:rsidRPr="00B55437">
        <w:rPr>
          <w:rFonts w:ascii="Arial" w:hAnsi="Arial"/>
        </w:rPr>
        <w:t xml:space="preserve"> – mark-up </w:t>
      </w:r>
    </w:p>
    <w:p w14:paraId="0B30F88A" w14:textId="69B3B08F" w:rsidR="001A6BF9" w:rsidRPr="00B55437" w:rsidRDefault="001A6BF9" w:rsidP="00F576B2">
      <w:pPr>
        <w:pStyle w:val="Akapitzlist"/>
        <w:spacing w:after="0" w:line="240" w:lineRule="auto"/>
        <w:contextualSpacing w:val="0"/>
        <w:rPr>
          <w:rFonts w:ascii="Arial" w:hAnsi="Arial" w:cs="Arial"/>
          <w:i/>
          <w:iCs/>
        </w:rPr>
      </w:pPr>
      <w:r>
        <w:rPr>
          <w:rFonts w:ascii="Arial" w:hAnsi="Arial"/>
          <w:b/>
          <w:i/>
        </w:rPr>
        <w:t xml:space="preserve">X </w:t>
      </w:r>
      <w:r w:rsidRPr="00B55437">
        <w:rPr>
          <w:rFonts w:ascii="Arial" w:hAnsi="Arial"/>
          <w:i/>
          <w:iCs/>
        </w:rPr>
        <w:t>– percentage indicator for sensitivity analysis purposes.</w:t>
      </w:r>
    </w:p>
    <w:p w14:paraId="3A854C6F" w14:textId="77777777" w:rsidR="00E1383C" w:rsidRPr="00B55437" w:rsidRDefault="00E1383C">
      <w:pPr>
        <w:jc w:val="left"/>
        <w:rPr>
          <w:rFonts w:ascii="Arial" w:eastAsiaTheme="majorEastAsia" w:hAnsi="Arial" w:cs="Arial"/>
          <w:b/>
          <w:bCs/>
          <w:highlight w:val="green"/>
        </w:rPr>
      </w:pPr>
      <w:r w:rsidRPr="00B55437">
        <w:rPr>
          <w:rFonts w:ascii="Arial" w:hAnsi="Arial"/>
          <w:b/>
          <w:bCs/>
          <w:highlight w:val="green"/>
        </w:rPr>
        <w:br w:type="page"/>
      </w:r>
    </w:p>
    <w:p w14:paraId="437EEFCF" w14:textId="1044AA36" w:rsidR="00004414" w:rsidRPr="00B55437" w:rsidRDefault="00D93736" w:rsidP="00D94098">
      <w:pPr>
        <w:pStyle w:val="Nagwek1"/>
        <w:numPr>
          <w:ilvl w:val="0"/>
          <w:numId w:val="41"/>
        </w:numPr>
        <w:spacing w:before="0" w:after="0" w:line="240" w:lineRule="auto"/>
        <w:rPr>
          <w:rFonts w:ascii="Arial" w:hAnsi="Arial" w:cs="Arial"/>
          <w:b/>
          <w:bCs/>
          <w:color w:val="auto"/>
          <w:sz w:val="22"/>
          <w:szCs w:val="22"/>
        </w:rPr>
      </w:pPr>
      <w:bookmarkStart w:id="5" w:name="_Toc1252551324"/>
      <w:r w:rsidRPr="6941ADB9">
        <w:rPr>
          <w:rFonts w:ascii="Arial" w:hAnsi="Arial"/>
          <w:b/>
          <w:bCs/>
          <w:color w:val="auto"/>
          <w:sz w:val="22"/>
          <w:szCs w:val="22"/>
        </w:rPr>
        <w:lastRenderedPageBreak/>
        <w:t xml:space="preserve">Use case 02: </w:t>
      </w:r>
      <w:bookmarkStart w:id="6" w:name="_Hlk235709330"/>
      <w:r w:rsidRPr="6941ADB9">
        <w:rPr>
          <w:rFonts w:ascii="Arial" w:hAnsi="Arial"/>
          <w:b/>
          <w:bCs/>
          <w:color w:val="auto"/>
          <w:sz w:val="22"/>
          <w:szCs w:val="22"/>
        </w:rPr>
        <w:t>creation of templates and planning modules</w:t>
      </w:r>
      <w:bookmarkEnd w:id="5"/>
      <w:bookmarkEnd w:id="6"/>
    </w:p>
    <w:p w14:paraId="77C2A0F4" w14:textId="77777777" w:rsidR="00004414" w:rsidRPr="00B55437" w:rsidRDefault="00004414" w:rsidP="00004414">
      <w:pPr>
        <w:rPr>
          <w:rFonts w:ascii="Arial" w:hAnsi="Arial" w:cs="Arial"/>
        </w:rPr>
      </w:pPr>
    </w:p>
    <w:p w14:paraId="00A598CC" w14:textId="3B8562AD" w:rsidR="00004414" w:rsidRPr="00B55437" w:rsidRDefault="00004414" w:rsidP="00D94098">
      <w:pPr>
        <w:pStyle w:val="Nagwek1"/>
        <w:numPr>
          <w:ilvl w:val="1"/>
          <w:numId w:val="41"/>
        </w:numPr>
        <w:spacing w:before="0" w:after="0" w:line="240" w:lineRule="auto"/>
        <w:rPr>
          <w:rFonts w:ascii="Arial" w:hAnsi="Arial" w:cs="Arial"/>
          <w:b/>
          <w:bCs/>
          <w:color w:val="auto"/>
          <w:sz w:val="22"/>
          <w:szCs w:val="22"/>
        </w:rPr>
      </w:pPr>
      <w:bookmarkStart w:id="7" w:name="_Toc301055481"/>
      <w:r w:rsidRPr="6941ADB9">
        <w:rPr>
          <w:rFonts w:ascii="Arial" w:hAnsi="Arial"/>
          <w:b/>
          <w:bCs/>
          <w:color w:val="auto"/>
          <w:sz w:val="22"/>
          <w:szCs w:val="22"/>
        </w:rPr>
        <w:t>Use case specification</w:t>
      </w:r>
      <w:bookmarkEnd w:id="7"/>
      <w:r w:rsidRPr="6941ADB9">
        <w:rPr>
          <w:rFonts w:ascii="Arial" w:hAnsi="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9"/>
        <w:gridCol w:w="1276"/>
        <w:gridCol w:w="6657"/>
      </w:tblGrid>
      <w:tr w:rsidR="00004414" w:rsidRPr="00B55437" w14:paraId="6776BE0D" w14:textId="77777777" w:rsidTr="00F20F5E">
        <w:tc>
          <w:tcPr>
            <w:tcW w:w="1129" w:type="dxa"/>
            <w:vMerge w:val="restart"/>
            <w:shd w:val="clear" w:color="auto" w:fill="C00000"/>
            <w:vAlign w:val="center"/>
          </w:tcPr>
          <w:p w14:paraId="6BE369CD" w14:textId="77777777" w:rsidR="00004414" w:rsidRPr="00B55437" w:rsidRDefault="00004414">
            <w:pPr>
              <w:jc w:val="center"/>
              <w:rPr>
                <w:rFonts w:ascii="Arial" w:hAnsi="Arial" w:cs="Arial"/>
                <w:smallCaps/>
                <w:color w:val="FFFFFF" w:themeColor="background1"/>
              </w:rPr>
            </w:pPr>
            <w:r>
              <w:rPr>
                <w:rFonts w:ascii="Arial" w:hAnsi="Arial"/>
                <w:smallCaps/>
                <w:color w:val="FFFFFF" w:themeColor="background1"/>
              </w:rPr>
              <w:t>case no.</w:t>
            </w:r>
          </w:p>
        </w:tc>
        <w:tc>
          <w:tcPr>
            <w:tcW w:w="7933" w:type="dxa"/>
            <w:gridSpan w:val="2"/>
            <w:shd w:val="clear" w:color="auto" w:fill="C00000"/>
            <w:vAlign w:val="center"/>
          </w:tcPr>
          <w:p w14:paraId="0E5ED750" w14:textId="77777777" w:rsidR="00004414" w:rsidRPr="00B55437" w:rsidRDefault="00004414">
            <w:pPr>
              <w:jc w:val="center"/>
              <w:rPr>
                <w:rFonts w:ascii="Arial" w:hAnsi="Arial" w:cs="Arial"/>
                <w:smallCaps/>
                <w:color w:val="FFFFFF" w:themeColor="background1"/>
              </w:rPr>
            </w:pPr>
            <w:r>
              <w:rPr>
                <w:rFonts w:ascii="Arial" w:hAnsi="Arial"/>
                <w:smallCaps/>
                <w:color w:val="FFFFFF" w:themeColor="background1"/>
              </w:rPr>
              <w:t>functionality</w:t>
            </w:r>
          </w:p>
        </w:tc>
      </w:tr>
      <w:tr w:rsidR="00004414" w:rsidRPr="00B55437" w14:paraId="615D91F1" w14:textId="77777777" w:rsidTr="00F20F5E">
        <w:tc>
          <w:tcPr>
            <w:tcW w:w="1129" w:type="dxa"/>
            <w:vMerge/>
            <w:shd w:val="clear" w:color="auto" w:fill="C00000"/>
            <w:vAlign w:val="center"/>
          </w:tcPr>
          <w:p w14:paraId="5165D615" w14:textId="77777777" w:rsidR="00004414" w:rsidRPr="00B55437" w:rsidRDefault="00004414">
            <w:pPr>
              <w:jc w:val="center"/>
              <w:rPr>
                <w:rFonts w:ascii="Arial" w:hAnsi="Arial" w:cs="Arial"/>
                <w:smallCaps/>
                <w:color w:val="FFFFFF" w:themeColor="background1"/>
              </w:rPr>
            </w:pPr>
          </w:p>
        </w:tc>
        <w:tc>
          <w:tcPr>
            <w:tcW w:w="1276" w:type="dxa"/>
            <w:shd w:val="clear" w:color="auto" w:fill="C00000"/>
            <w:vAlign w:val="center"/>
          </w:tcPr>
          <w:p w14:paraId="4AD2C9E8" w14:textId="77777777" w:rsidR="00004414" w:rsidRPr="00B55437" w:rsidRDefault="00004414">
            <w:pPr>
              <w:jc w:val="center"/>
              <w:rPr>
                <w:rFonts w:ascii="Arial" w:hAnsi="Arial" w:cs="Arial"/>
                <w:smallCaps/>
                <w:color w:val="FFFFFF" w:themeColor="background1"/>
              </w:rPr>
            </w:pPr>
            <w:r>
              <w:rPr>
                <w:rFonts w:ascii="Arial" w:hAnsi="Arial"/>
                <w:smallCaps/>
                <w:color w:val="FFFFFF" w:themeColor="background1"/>
              </w:rPr>
              <w:t>letter symbols</w:t>
            </w:r>
          </w:p>
        </w:tc>
        <w:tc>
          <w:tcPr>
            <w:tcW w:w="6657" w:type="dxa"/>
            <w:shd w:val="clear" w:color="auto" w:fill="C00000"/>
            <w:vAlign w:val="center"/>
          </w:tcPr>
          <w:p w14:paraId="1398A0CD" w14:textId="77777777" w:rsidR="00004414" w:rsidRPr="00B55437" w:rsidRDefault="00004414">
            <w:pPr>
              <w:jc w:val="center"/>
              <w:rPr>
                <w:rFonts w:ascii="Arial" w:hAnsi="Arial" w:cs="Arial"/>
                <w:smallCaps/>
                <w:color w:val="FFFFFF" w:themeColor="background1"/>
              </w:rPr>
            </w:pPr>
            <w:r>
              <w:rPr>
                <w:rFonts w:ascii="Arial" w:hAnsi="Arial"/>
                <w:smallCaps/>
                <w:color w:val="FFFFFF" w:themeColor="background1"/>
              </w:rPr>
              <w:t>Name of the functionality</w:t>
            </w:r>
          </w:p>
        </w:tc>
      </w:tr>
      <w:tr w:rsidR="00280079" w:rsidRPr="00B55437" w14:paraId="1325A29B" w14:textId="77777777" w:rsidTr="00F20F5E">
        <w:tc>
          <w:tcPr>
            <w:tcW w:w="1129" w:type="dxa"/>
            <w:vMerge w:val="restart"/>
            <w:vAlign w:val="center"/>
          </w:tcPr>
          <w:p w14:paraId="5DB4B09A" w14:textId="26A43B89" w:rsidR="00280079" w:rsidRPr="00B55437" w:rsidRDefault="00280079">
            <w:pPr>
              <w:jc w:val="center"/>
              <w:rPr>
                <w:rFonts w:ascii="Arial" w:hAnsi="Arial" w:cs="Arial"/>
                <w:i/>
                <w:smallCaps/>
                <w:color w:val="171717" w:themeColor="background2" w:themeShade="1A"/>
              </w:rPr>
            </w:pPr>
            <w:r>
              <w:rPr>
                <w:rFonts w:ascii="Arial" w:hAnsi="Arial"/>
                <w:i/>
                <w:smallCaps/>
                <w:color w:val="171717" w:themeColor="background2" w:themeShade="1A"/>
              </w:rPr>
              <w:t>02</w:t>
            </w:r>
          </w:p>
        </w:tc>
        <w:tc>
          <w:tcPr>
            <w:tcW w:w="1276" w:type="dxa"/>
            <w:vAlign w:val="center"/>
          </w:tcPr>
          <w:p w14:paraId="77E7ECEB" w14:textId="576ABE28" w:rsidR="00280079" w:rsidRPr="00B55437" w:rsidRDefault="00280079">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B2</w:t>
            </w:r>
            <w:proofErr w:type="spellEnd"/>
          </w:p>
        </w:tc>
        <w:tc>
          <w:tcPr>
            <w:tcW w:w="6657" w:type="dxa"/>
          </w:tcPr>
          <w:p w14:paraId="1778DF92" w14:textId="764A31B6" w:rsidR="00280079" w:rsidRPr="00B55437" w:rsidRDefault="00280079">
            <w:pPr>
              <w:rPr>
                <w:rFonts w:ascii="Arial" w:hAnsi="Arial" w:cs="Arial"/>
                <w:i/>
                <w:iCs/>
                <w:smallCaps/>
                <w:color w:val="171717" w:themeColor="background2" w:themeShade="1A"/>
              </w:rPr>
            </w:pPr>
            <w:r>
              <w:rPr>
                <w:rFonts w:ascii="Arial" w:hAnsi="Arial"/>
                <w:i/>
                <w:smallCaps/>
                <w:color w:val="171717" w:themeColor="background2" w:themeShade="1A"/>
              </w:rPr>
              <w:t>It enables business users to create, modify and copy planning templates in accordance with their assigned PERMISSIONS.</w:t>
            </w:r>
          </w:p>
        </w:tc>
      </w:tr>
      <w:tr w:rsidR="00280079" w:rsidRPr="00B55437" w14:paraId="4977A013" w14:textId="77777777" w:rsidTr="00F20F5E">
        <w:tc>
          <w:tcPr>
            <w:tcW w:w="1129" w:type="dxa"/>
            <w:vMerge/>
            <w:vAlign w:val="center"/>
          </w:tcPr>
          <w:p w14:paraId="25DBE17D" w14:textId="77777777" w:rsidR="00280079" w:rsidRPr="00B55437" w:rsidRDefault="00280079">
            <w:pPr>
              <w:jc w:val="center"/>
              <w:rPr>
                <w:rFonts w:ascii="Arial" w:hAnsi="Arial" w:cs="Arial"/>
                <w:i/>
                <w:iCs/>
                <w:smallCaps/>
                <w:color w:val="171717" w:themeColor="background2" w:themeShade="1A"/>
              </w:rPr>
            </w:pPr>
          </w:p>
        </w:tc>
        <w:tc>
          <w:tcPr>
            <w:tcW w:w="1276" w:type="dxa"/>
            <w:vAlign w:val="center"/>
          </w:tcPr>
          <w:p w14:paraId="7F662F54" w14:textId="7498FA95" w:rsidR="00280079" w:rsidRPr="00B55437" w:rsidRDefault="00280079">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F1</w:t>
            </w:r>
            <w:proofErr w:type="spellEnd"/>
          </w:p>
        </w:tc>
        <w:tc>
          <w:tcPr>
            <w:tcW w:w="6657" w:type="dxa"/>
          </w:tcPr>
          <w:p w14:paraId="0E32AF31" w14:textId="2BD2146D" w:rsidR="00280079" w:rsidRPr="00B55437" w:rsidRDefault="00280079">
            <w:pPr>
              <w:rPr>
                <w:rFonts w:ascii="Arial" w:hAnsi="Arial" w:cs="Arial"/>
                <w:b/>
                <w:bCs/>
                <w:i/>
                <w:iCs/>
                <w:smallCaps/>
                <w:color w:val="171717" w:themeColor="background2" w:themeShade="1A"/>
              </w:rPr>
            </w:pPr>
            <w:r>
              <w:rPr>
                <w:rFonts w:ascii="Arial" w:hAnsi="Arial"/>
                <w:i/>
                <w:smallCaps/>
                <w:color w:val="171717" w:themeColor="background2" w:themeShade="1A"/>
              </w:rPr>
              <w:t>Selection and implementation of forecasting algorithms for various categories of revenue and costs, defining parts of cost items based on logic and macroeconomic assumptions, and allowing users to apply manual adjustments at various levels of the organisational and segment hierarchy in accordance with their assigned permissions.</w:t>
            </w:r>
          </w:p>
        </w:tc>
      </w:tr>
    </w:tbl>
    <w:p w14:paraId="1E2DE67E" w14:textId="77777777" w:rsidR="00004414" w:rsidRPr="00B55437" w:rsidRDefault="00004414" w:rsidP="00004414">
      <w:pPr>
        <w:rPr>
          <w:rFonts w:ascii="Arial" w:hAnsi="Arial" w:cs="Arial"/>
        </w:rPr>
      </w:pPr>
    </w:p>
    <w:p w14:paraId="56960820" w14:textId="7E53E60B" w:rsidR="00004414" w:rsidRPr="00B55437" w:rsidRDefault="00004414" w:rsidP="001470A1">
      <w:pPr>
        <w:pStyle w:val="Nagwek1"/>
        <w:numPr>
          <w:ilvl w:val="1"/>
          <w:numId w:val="41"/>
        </w:numPr>
        <w:spacing w:before="0" w:after="120" w:line="240" w:lineRule="auto"/>
        <w:rPr>
          <w:rFonts w:ascii="Arial" w:hAnsi="Arial" w:cs="Arial"/>
          <w:b/>
          <w:bCs/>
          <w:color w:val="auto"/>
          <w:sz w:val="22"/>
          <w:szCs w:val="22"/>
        </w:rPr>
      </w:pPr>
      <w:bookmarkStart w:id="8" w:name="_Toc1850534457"/>
      <w:r w:rsidRPr="6941ADB9">
        <w:rPr>
          <w:rFonts w:ascii="Arial" w:hAnsi="Arial"/>
          <w:b/>
          <w:bCs/>
          <w:color w:val="auto"/>
          <w:sz w:val="22"/>
          <w:szCs w:val="22"/>
        </w:rPr>
        <w:t>Use case description</w:t>
      </w:r>
      <w:bookmarkEnd w:id="8"/>
      <w:r w:rsidRPr="6941ADB9">
        <w:rPr>
          <w:rFonts w:ascii="Arial" w:hAnsi="Arial"/>
          <w:b/>
          <w:bCs/>
          <w:color w:val="auto"/>
          <w:sz w:val="22"/>
          <w:szCs w:val="22"/>
        </w:rPr>
        <w:t xml:space="preserve"> </w:t>
      </w:r>
    </w:p>
    <w:p w14:paraId="03C4814A" w14:textId="77777777" w:rsidR="00B47CCB" w:rsidRDefault="00B47CCB">
      <w:r>
        <w:rPr>
          <w:rFonts w:ascii="Arial" w:hAnsi="Arial"/>
        </w:rPr>
        <w:t>As part of the BC project, we wish to test the following aspects: a) the planning form and b) the planning module.</w:t>
      </w:r>
    </w:p>
    <w:p w14:paraId="045C6D71" w14:textId="2ADEA896" w:rsidR="00906CA5" w:rsidRPr="00B55437" w:rsidRDefault="00906CA5" w:rsidP="00D93E00">
      <w:pPr>
        <w:rPr>
          <w:rFonts w:ascii="Arial" w:hAnsi="Arial" w:cs="Arial"/>
          <w:b/>
          <w:bCs/>
        </w:rPr>
      </w:pPr>
      <w:r>
        <w:rPr>
          <w:rFonts w:ascii="Arial" w:hAnsi="Arial"/>
          <w:b/>
        </w:rPr>
        <w:t>Planning template</w:t>
      </w:r>
    </w:p>
    <w:p w14:paraId="2F565CC3" w14:textId="0B2BF640" w:rsidR="002C430D" w:rsidRPr="00B55437" w:rsidRDefault="00F576B2" w:rsidP="00D93E00">
      <w:pPr>
        <w:rPr>
          <w:rFonts w:ascii="Arial" w:hAnsi="Arial" w:cs="Arial"/>
        </w:rPr>
      </w:pPr>
      <w:r>
        <w:rPr>
          <w:rFonts w:ascii="Arial" w:hAnsi="Arial"/>
        </w:rPr>
        <w:t xml:space="preserve">Let us assume that the ORLEN Group intends to create a planning template in </w:t>
      </w:r>
      <w:proofErr w:type="spellStart"/>
      <w:r>
        <w:rPr>
          <w:rFonts w:ascii="Arial" w:hAnsi="Arial"/>
        </w:rPr>
        <w:t>EPM</w:t>
      </w:r>
      <w:proofErr w:type="spellEnd"/>
      <w:r>
        <w:rPr>
          <w:rFonts w:ascii="Arial" w:hAnsi="Arial"/>
        </w:rPr>
        <w:t>, in which the parent company defines the following figures for selected planning periods (planned parameters are highlighted in colour):</w:t>
      </w:r>
    </w:p>
    <w:p w14:paraId="52532CF2" w14:textId="3BB9E0FA" w:rsidR="00D5787D" w:rsidRPr="00B55437" w:rsidRDefault="008F679F" w:rsidP="00A546E2">
      <w:pPr>
        <w:pStyle w:val="Akapitzlist"/>
        <w:numPr>
          <w:ilvl w:val="0"/>
          <w:numId w:val="6"/>
        </w:numPr>
        <w:rPr>
          <w:rFonts w:ascii="Arial" w:hAnsi="Arial" w:cs="Arial"/>
        </w:rPr>
      </w:pPr>
      <w:r>
        <w:rPr>
          <w:rFonts w:ascii="Arial" w:hAnsi="Arial"/>
        </w:rPr>
        <w:t>the cost of funding under an internal borrowing from ORLEN S.A., calculated as (</w:t>
      </w:r>
      <w:proofErr w:type="spellStart"/>
      <w:r>
        <w:rPr>
          <w:rFonts w:ascii="Arial" w:hAnsi="Arial"/>
        </w:rPr>
        <w:t>WIBOR</w:t>
      </w:r>
      <w:proofErr w:type="spellEnd"/>
      <w:r>
        <w:rPr>
          <w:rFonts w:ascii="Arial" w:hAnsi="Arial"/>
        </w:rPr>
        <w:t xml:space="preserve"> + </w:t>
      </w:r>
      <w:r>
        <w:rPr>
          <w:rFonts w:ascii="Arial" w:hAnsi="Arial"/>
          <w:color w:val="00B0F0"/>
        </w:rPr>
        <w:t xml:space="preserve">x%) </w:t>
      </w:r>
      <w:r w:rsidRPr="00EE713B">
        <w:rPr>
          <w:rFonts w:ascii="Arial" w:hAnsi="Arial"/>
        </w:rPr>
        <w:t>for</w:t>
      </w:r>
      <w:r>
        <w:rPr>
          <w:rFonts w:ascii="Arial" w:hAnsi="Arial"/>
          <w:color w:val="00B0F0"/>
        </w:rPr>
        <w:t xml:space="preserve"> </w:t>
      </w:r>
      <w:r>
        <w:rPr>
          <w:rFonts w:ascii="Arial" w:hAnsi="Arial"/>
        </w:rPr>
        <w:t>a borrowing of up to PLN 10 million and (</w:t>
      </w:r>
      <w:proofErr w:type="spellStart"/>
      <w:r>
        <w:rPr>
          <w:rFonts w:ascii="Arial" w:hAnsi="Arial"/>
        </w:rPr>
        <w:t>WIBOR</w:t>
      </w:r>
      <w:proofErr w:type="spellEnd"/>
      <w:r>
        <w:rPr>
          <w:rFonts w:ascii="Arial" w:hAnsi="Arial"/>
        </w:rPr>
        <w:t xml:space="preserve"> + </w:t>
      </w:r>
      <w:r w:rsidR="00C06238" w:rsidRPr="00B55437">
        <w:rPr>
          <w:rFonts w:ascii="Arial" w:hAnsi="Arial"/>
          <w:color w:val="00B0F0"/>
        </w:rPr>
        <w:t xml:space="preserve">y%) </w:t>
      </w:r>
      <w:r w:rsidR="00C06238" w:rsidRPr="00EE713B">
        <w:rPr>
          <w:rFonts w:ascii="Arial" w:hAnsi="Arial"/>
        </w:rPr>
        <w:t>for</w:t>
      </w:r>
      <w:r w:rsidR="00C06238" w:rsidRPr="00B55437">
        <w:rPr>
          <w:rFonts w:ascii="Arial" w:hAnsi="Arial"/>
          <w:color w:val="00B0F0"/>
        </w:rPr>
        <w:t xml:space="preserve"> </w:t>
      </w:r>
      <w:r>
        <w:rPr>
          <w:rFonts w:ascii="Arial" w:hAnsi="Arial"/>
        </w:rPr>
        <w:t xml:space="preserve">a borrowing exceeding </w:t>
      </w:r>
      <w:r>
        <w:rPr>
          <w:rFonts w:ascii="Arial" w:hAnsi="Arial"/>
          <w:color w:val="00B0F0"/>
        </w:rPr>
        <w:t xml:space="preserve">10 </w:t>
      </w:r>
      <w:r w:rsidRPr="00EE713B">
        <w:rPr>
          <w:rFonts w:ascii="Arial" w:hAnsi="Arial"/>
        </w:rPr>
        <w:t>million</w:t>
      </w:r>
      <w:r>
        <w:rPr>
          <w:rFonts w:ascii="Arial" w:hAnsi="Arial"/>
        </w:rPr>
        <w:t>,</w:t>
      </w:r>
    </w:p>
    <w:p w14:paraId="7D314077" w14:textId="7A6A170F" w:rsidR="00123688" w:rsidRPr="00B55437" w:rsidRDefault="00D5787D" w:rsidP="00A546E2">
      <w:pPr>
        <w:pStyle w:val="Akapitzlist"/>
        <w:numPr>
          <w:ilvl w:val="0"/>
          <w:numId w:val="6"/>
        </w:numPr>
        <w:rPr>
          <w:rFonts w:ascii="Arial" w:hAnsi="Arial" w:cs="Arial"/>
        </w:rPr>
      </w:pPr>
      <w:r>
        <w:rPr>
          <w:rFonts w:ascii="Arial" w:hAnsi="Arial"/>
        </w:rPr>
        <w:t>dividend payment as</w:t>
      </w:r>
      <w:r w:rsidR="00EE713B">
        <w:rPr>
          <w:rFonts w:ascii="Arial" w:hAnsi="Arial"/>
        </w:rPr>
        <w:t xml:space="preserve"> </w:t>
      </w:r>
      <w:r w:rsidRPr="00B55437">
        <w:rPr>
          <w:rFonts w:ascii="Arial" w:hAnsi="Arial"/>
          <w:color w:val="00B0F0"/>
        </w:rPr>
        <w:t>a percentage of</w:t>
      </w:r>
      <w:r>
        <w:rPr>
          <w:rFonts w:ascii="Arial" w:hAnsi="Arial"/>
        </w:rPr>
        <w:t xml:space="preserve"> the company’s projected profit for the previous year: calculated in </w:t>
      </w:r>
      <w:r w:rsidR="008679CC" w:rsidRPr="00B55437">
        <w:rPr>
          <w:rFonts w:ascii="Arial" w:hAnsi="Arial"/>
          <w:color w:val="00B0F0"/>
        </w:rPr>
        <w:t>March</w:t>
      </w:r>
      <w:r>
        <w:rPr>
          <w:rFonts w:ascii="Arial" w:hAnsi="Arial"/>
        </w:rPr>
        <w:t>, paid in</w:t>
      </w:r>
      <w:r w:rsidR="008679CC" w:rsidRPr="00B55437">
        <w:rPr>
          <w:rFonts w:ascii="Arial" w:hAnsi="Arial"/>
          <w:color w:val="00B0F0"/>
        </w:rPr>
        <w:t xml:space="preserve"> June</w:t>
      </w:r>
      <w:r>
        <w:rPr>
          <w:rFonts w:ascii="Arial" w:hAnsi="Arial"/>
        </w:rPr>
        <w:t>.</w:t>
      </w:r>
    </w:p>
    <w:p w14:paraId="70808532" w14:textId="77777777" w:rsidR="00B47CCB" w:rsidRDefault="00B47CCB">
      <w:proofErr w:type="spellStart"/>
      <w:r>
        <w:rPr>
          <w:rFonts w:ascii="Arial" w:hAnsi="Arial"/>
        </w:rPr>
        <w:t>WIBOR</w:t>
      </w:r>
      <w:proofErr w:type="spellEnd"/>
      <w:r>
        <w:rPr>
          <w:rFonts w:ascii="Arial" w:hAnsi="Arial"/>
        </w:rPr>
        <w:t xml:space="preserve"> rates are to be retrieved automatically from the planning assumptions. </w:t>
      </w:r>
      <w:r>
        <w:rPr>
          <w:rFonts w:ascii="Arial" w:hAnsi="Arial"/>
          <w:color w:val="00B0F0"/>
        </w:rPr>
        <w:t>The planned targets</w:t>
      </w:r>
      <w:r>
        <w:rPr>
          <w:rFonts w:ascii="Arial" w:hAnsi="Arial"/>
        </w:rPr>
        <w:t xml:space="preserve"> are set directly by the parent company and communicated to the subsidiaries as guidelines. As part of the process, subsidiaries are to be granted access to a form/planning module, based on which they will automatically plan the financial costs of internal loans from ORLEN S.A. and the levels of dividend accrual and payment.</w:t>
      </w:r>
    </w:p>
    <w:p w14:paraId="18077D24" w14:textId="0BFDDEDA" w:rsidR="00906CA5" w:rsidRPr="00B55437" w:rsidRDefault="00906CA5" w:rsidP="00D93E00">
      <w:pPr>
        <w:rPr>
          <w:rFonts w:ascii="Arial" w:hAnsi="Arial" w:cs="Arial"/>
          <w:b/>
          <w:bCs/>
        </w:rPr>
      </w:pPr>
      <w:r>
        <w:rPr>
          <w:rFonts w:ascii="Arial" w:hAnsi="Arial"/>
          <w:b/>
        </w:rPr>
        <w:t>Planning module</w:t>
      </w:r>
    </w:p>
    <w:p w14:paraId="3DE3D74E" w14:textId="27E6A7FA" w:rsidR="00151E0A" w:rsidRPr="00B55437" w:rsidRDefault="003A7587" w:rsidP="00A912E4">
      <w:pPr>
        <w:pStyle w:val="Akapitzlist"/>
        <w:numPr>
          <w:ilvl w:val="0"/>
          <w:numId w:val="22"/>
        </w:numPr>
        <w:ind w:left="426" w:hanging="426"/>
        <w:rPr>
          <w:rFonts w:ascii="Arial" w:hAnsi="Arial" w:cs="Arial"/>
        </w:rPr>
      </w:pPr>
      <w:r>
        <w:rPr>
          <w:rFonts w:ascii="Arial" w:hAnsi="Arial"/>
        </w:rPr>
        <w:t>The ORLEN Group calculates its financial results with both the AVG and LIFO methods, which means that inventories and consumption must be valued simultaneously with both methods. Use the example provided to demonstrate how a sample module works, in which crude oil stock and consumption are calculated using the LIFO and AVG methods (as shown in the attached file).</w:t>
      </w:r>
    </w:p>
    <w:p w14:paraId="1199BB57" w14:textId="72EF7608" w:rsidR="00014DD7" w:rsidRPr="00B55437" w:rsidRDefault="0025734E" w:rsidP="003C0250">
      <w:pPr>
        <w:jc w:val="center"/>
        <w:rPr>
          <w:rFonts w:ascii="Arial" w:hAnsi="Arial" w:cs="Arial"/>
        </w:rPr>
      </w:pPr>
      <w:r>
        <w:object w:dxaOrig="1520" w:dyaOrig="987" w14:anchorId="2DE9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5pt" o:ole="">
            <v:imagedata r:id="rId12" o:title=""/>
          </v:shape>
          <o:OLEObject Type="Embed" ProgID="Excel.Sheet.12" ShapeID="_x0000_i1025" DrawAspect="Icon" ObjectID="_1846677504" r:id="rId13"/>
        </w:object>
      </w:r>
    </w:p>
    <w:p w14:paraId="2FD28388" w14:textId="2469996C" w:rsidR="005C53F3" w:rsidRPr="00B55437" w:rsidRDefault="005C53F3">
      <w:pPr>
        <w:jc w:val="left"/>
        <w:rPr>
          <w:rFonts w:ascii="Arial" w:eastAsiaTheme="majorEastAsia" w:hAnsi="Arial" w:cs="Arial"/>
          <w:b/>
          <w:bCs/>
          <w:highlight w:val="green"/>
        </w:rPr>
      </w:pPr>
    </w:p>
    <w:p w14:paraId="7D4334C0" w14:textId="77777777" w:rsidR="00F576B2" w:rsidRPr="00B55437" w:rsidRDefault="00F576B2">
      <w:pPr>
        <w:jc w:val="left"/>
        <w:rPr>
          <w:rFonts w:ascii="Arial" w:eastAsiaTheme="majorEastAsia" w:hAnsi="Arial" w:cs="Arial"/>
          <w:b/>
          <w:bCs/>
          <w:highlight w:val="green"/>
        </w:rPr>
      </w:pPr>
      <w:r w:rsidRPr="00B55437">
        <w:rPr>
          <w:rFonts w:ascii="Arial" w:hAnsi="Arial"/>
          <w:b/>
          <w:bCs/>
          <w:highlight w:val="green"/>
        </w:rPr>
        <w:br w:type="page"/>
      </w:r>
    </w:p>
    <w:p w14:paraId="7F7C62FB" w14:textId="2958D711" w:rsidR="00B96618" w:rsidRPr="00B55437" w:rsidRDefault="00D93736" w:rsidP="004A2199">
      <w:pPr>
        <w:pStyle w:val="Nagwek1"/>
        <w:numPr>
          <w:ilvl w:val="0"/>
          <w:numId w:val="41"/>
        </w:numPr>
        <w:spacing w:before="0" w:after="120" w:line="240" w:lineRule="auto"/>
        <w:ind w:left="357" w:hanging="357"/>
        <w:rPr>
          <w:rFonts w:ascii="Arial" w:hAnsi="Arial" w:cs="Arial"/>
          <w:b/>
          <w:bCs/>
          <w:color w:val="auto"/>
          <w:sz w:val="22"/>
          <w:szCs w:val="22"/>
        </w:rPr>
      </w:pPr>
      <w:bookmarkStart w:id="9" w:name="_Toc2060827002"/>
      <w:r w:rsidRPr="6941ADB9">
        <w:rPr>
          <w:rFonts w:ascii="Arial" w:hAnsi="Arial"/>
          <w:b/>
          <w:bCs/>
          <w:color w:val="auto"/>
          <w:sz w:val="22"/>
          <w:szCs w:val="22"/>
        </w:rPr>
        <w:lastRenderedPageBreak/>
        <w:t xml:space="preserve">Use case 03: </w:t>
      </w:r>
      <w:bookmarkStart w:id="10" w:name="_Hlk235709362"/>
      <w:r w:rsidRPr="6941ADB9">
        <w:rPr>
          <w:rFonts w:ascii="Arial" w:hAnsi="Arial"/>
          <w:b/>
          <w:bCs/>
          <w:color w:val="auto"/>
          <w:sz w:val="22"/>
          <w:szCs w:val="22"/>
        </w:rPr>
        <w:t>algorithm development and business validation</w:t>
      </w:r>
      <w:bookmarkEnd w:id="9"/>
      <w:bookmarkEnd w:id="10"/>
    </w:p>
    <w:p w14:paraId="0A9EC4FD" w14:textId="4B9FB62F" w:rsidR="00B96618" w:rsidRPr="00B55437" w:rsidRDefault="00B96618" w:rsidP="005C53F3">
      <w:pPr>
        <w:pStyle w:val="Nagwek1"/>
        <w:numPr>
          <w:ilvl w:val="1"/>
          <w:numId w:val="41"/>
        </w:numPr>
        <w:spacing w:before="0" w:after="0" w:line="240" w:lineRule="auto"/>
        <w:rPr>
          <w:rFonts w:ascii="Arial" w:hAnsi="Arial" w:cs="Arial"/>
          <w:b/>
          <w:bCs/>
          <w:color w:val="auto"/>
          <w:sz w:val="22"/>
          <w:szCs w:val="22"/>
        </w:rPr>
      </w:pPr>
      <w:bookmarkStart w:id="11" w:name="_Toc1368697494"/>
      <w:r w:rsidRPr="6941ADB9">
        <w:rPr>
          <w:rFonts w:ascii="Arial" w:hAnsi="Arial"/>
          <w:b/>
          <w:bCs/>
          <w:color w:val="auto"/>
          <w:sz w:val="22"/>
          <w:szCs w:val="22"/>
        </w:rPr>
        <w:t>Use case specification</w:t>
      </w:r>
      <w:bookmarkEnd w:id="11"/>
      <w:r w:rsidRPr="6941ADB9">
        <w:rPr>
          <w:rFonts w:ascii="Arial" w:hAnsi="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8"/>
        <w:gridCol w:w="1441"/>
        <w:gridCol w:w="6503"/>
      </w:tblGrid>
      <w:tr w:rsidR="00B96618" w:rsidRPr="00B55437" w14:paraId="67E2AEA7" w14:textId="77777777" w:rsidTr="00BA5037">
        <w:tc>
          <w:tcPr>
            <w:tcW w:w="1128" w:type="dxa"/>
            <w:vMerge w:val="restart"/>
            <w:shd w:val="clear" w:color="auto" w:fill="C00000"/>
            <w:vAlign w:val="center"/>
          </w:tcPr>
          <w:p w14:paraId="07F7D835" w14:textId="77777777" w:rsidR="00B96618" w:rsidRPr="00B55437" w:rsidRDefault="00B96618">
            <w:pPr>
              <w:jc w:val="center"/>
              <w:rPr>
                <w:rFonts w:ascii="Arial" w:hAnsi="Arial" w:cs="Arial"/>
                <w:smallCaps/>
                <w:color w:val="FFFFFF" w:themeColor="background1"/>
              </w:rPr>
            </w:pPr>
            <w:r>
              <w:rPr>
                <w:rFonts w:ascii="Arial" w:hAnsi="Arial"/>
                <w:smallCaps/>
                <w:color w:val="FFFFFF" w:themeColor="background1"/>
              </w:rPr>
              <w:t>case no.</w:t>
            </w:r>
          </w:p>
        </w:tc>
        <w:tc>
          <w:tcPr>
            <w:tcW w:w="7944" w:type="dxa"/>
            <w:gridSpan w:val="2"/>
            <w:shd w:val="clear" w:color="auto" w:fill="C00000"/>
            <w:vAlign w:val="center"/>
          </w:tcPr>
          <w:p w14:paraId="4A2E28DE" w14:textId="77777777" w:rsidR="00B96618" w:rsidRPr="00B55437" w:rsidRDefault="00B96618">
            <w:pPr>
              <w:jc w:val="center"/>
              <w:rPr>
                <w:rFonts w:ascii="Arial" w:hAnsi="Arial" w:cs="Arial"/>
                <w:smallCaps/>
                <w:color w:val="FFFFFF" w:themeColor="background1"/>
              </w:rPr>
            </w:pPr>
            <w:r>
              <w:rPr>
                <w:rFonts w:ascii="Arial" w:hAnsi="Arial"/>
                <w:smallCaps/>
                <w:color w:val="FFFFFF" w:themeColor="background1"/>
              </w:rPr>
              <w:t>functionality</w:t>
            </w:r>
          </w:p>
        </w:tc>
      </w:tr>
      <w:tr w:rsidR="00B96618" w:rsidRPr="00B55437" w14:paraId="39FBF8B6" w14:textId="77777777" w:rsidTr="00BA5037">
        <w:tc>
          <w:tcPr>
            <w:tcW w:w="1128" w:type="dxa"/>
            <w:vMerge/>
            <w:shd w:val="clear" w:color="auto" w:fill="C00000"/>
            <w:vAlign w:val="center"/>
          </w:tcPr>
          <w:p w14:paraId="7E532CFB" w14:textId="77777777" w:rsidR="00B96618" w:rsidRPr="00B55437" w:rsidRDefault="00B96618">
            <w:pPr>
              <w:jc w:val="center"/>
              <w:rPr>
                <w:rFonts w:ascii="Arial" w:hAnsi="Arial" w:cs="Arial"/>
                <w:smallCaps/>
                <w:color w:val="FFFFFF" w:themeColor="background1"/>
              </w:rPr>
            </w:pPr>
          </w:p>
        </w:tc>
        <w:tc>
          <w:tcPr>
            <w:tcW w:w="1441" w:type="dxa"/>
            <w:shd w:val="clear" w:color="auto" w:fill="C00000"/>
            <w:vAlign w:val="center"/>
          </w:tcPr>
          <w:p w14:paraId="57F1A419" w14:textId="77777777" w:rsidR="00B96618" w:rsidRPr="00B55437" w:rsidRDefault="00B96618">
            <w:pPr>
              <w:jc w:val="center"/>
              <w:rPr>
                <w:rFonts w:ascii="Arial" w:hAnsi="Arial" w:cs="Arial"/>
                <w:smallCaps/>
                <w:color w:val="FFFFFF" w:themeColor="background1"/>
              </w:rPr>
            </w:pPr>
            <w:r>
              <w:rPr>
                <w:rFonts w:ascii="Arial" w:hAnsi="Arial"/>
                <w:smallCaps/>
                <w:color w:val="FFFFFF" w:themeColor="background1"/>
              </w:rPr>
              <w:t>letter symbols</w:t>
            </w:r>
          </w:p>
        </w:tc>
        <w:tc>
          <w:tcPr>
            <w:tcW w:w="6503" w:type="dxa"/>
            <w:shd w:val="clear" w:color="auto" w:fill="C00000"/>
            <w:vAlign w:val="center"/>
          </w:tcPr>
          <w:p w14:paraId="6C314A4A" w14:textId="77777777" w:rsidR="00B96618" w:rsidRPr="00B55437" w:rsidRDefault="00B96618">
            <w:pPr>
              <w:jc w:val="center"/>
              <w:rPr>
                <w:rFonts w:ascii="Arial" w:hAnsi="Arial" w:cs="Arial"/>
                <w:smallCaps/>
                <w:color w:val="FFFFFF" w:themeColor="background1"/>
              </w:rPr>
            </w:pPr>
            <w:r>
              <w:rPr>
                <w:rFonts w:ascii="Arial" w:hAnsi="Arial"/>
                <w:smallCaps/>
                <w:color w:val="FFFFFF" w:themeColor="background1"/>
              </w:rPr>
              <w:t>Name of the functionality</w:t>
            </w:r>
          </w:p>
        </w:tc>
      </w:tr>
      <w:tr w:rsidR="00F20F5E" w:rsidRPr="00B55437" w14:paraId="64823486" w14:textId="77777777" w:rsidTr="00BA5037">
        <w:tc>
          <w:tcPr>
            <w:tcW w:w="1128" w:type="dxa"/>
            <w:vMerge w:val="restart"/>
            <w:vAlign w:val="center"/>
          </w:tcPr>
          <w:p w14:paraId="5F1C808B" w14:textId="046B5686" w:rsidR="00F20F5E" w:rsidRPr="00B55437" w:rsidRDefault="00F20F5E">
            <w:pPr>
              <w:jc w:val="center"/>
              <w:rPr>
                <w:rFonts w:ascii="Arial" w:hAnsi="Arial" w:cs="Arial"/>
                <w:i/>
                <w:smallCaps/>
                <w:color w:val="171717" w:themeColor="background2" w:themeShade="1A"/>
              </w:rPr>
            </w:pPr>
            <w:r>
              <w:rPr>
                <w:rFonts w:ascii="Arial" w:hAnsi="Arial"/>
                <w:i/>
                <w:smallCaps/>
                <w:color w:val="171717" w:themeColor="background2" w:themeShade="1A"/>
              </w:rPr>
              <w:t>03</w:t>
            </w:r>
          </w:p>
        </w:tc>
        <w:tc>
          <w:tcPr>
            <w:tcW w:w="1441" w:type="dxa"/>
            <w:vAlign w:val="center"/>
          </w:tcPr>
          <w:p w14:paraId="637C33BA" w14:textId="12EB8708" w:rsidR="00F20F5E" w:rsidRPr="00B55437" w:rsidRDefault="00F20F5E" w:rsidP="00E13ABB">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B1</w:t>
            </w:r>
            <w:proofErr w:type="spellEnd"/>
          </w:p>
        </w:tc>
        <w:tc>
          <w:tcPr>
            <w:tcW w:w="6503" w:type="dxa"/>
          </w:tcPr>
          <w:p w14:paraId="2ED9619B" w14:textId="70A8072F"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It enables business users to create, modify and copy algorithms and formulas in accordance with their assigned permissions.</w:t>
            </w:r>
          </w:p>
        </w:tc>
      </w:tr>
      <w:tr w:rsidR="00F20F5E" w:rsidRPr="00B55437" w14:paraId="7B76EF38" w14:textId="77777777" w:rsidTr="00BA5037">
        <w:tc>
          <w:tcPr>
            <w:tcW w:w="1128" w:type="dxa"/>
            <w:vMerge/>
            <w:vAlign w:val="center"/>
          </w:tcPr>
          <w:p w14:paraId="12813377" w14:textId="729DF588"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01A00B70" w14:textId="5CBBC214" w:rsidR="00F20F5E" w:rsidRPr="00B55437" w:rsidRDefault="00F20F5E" w:rsidP="00E13ABB">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B3</w:t>
            </w:r>
            <w:proofErr w:type="spellEnd"/>
          </w:p>
        </w:tc>
        <w:tc>
          <w:tcPr>
            <w:tcW w:w="6503" w:type="dxa"/>
          </w:tcPr>
          <w:p w14:paraId="73E38BCB" w14:textId="2A115415"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It enables creating, modifying and copying relationships between respective variables in accordance with their assigned permissions.</w:t>
            </w:r>
          </w:p>
        </w:tc>
      </w:tr>
      <w:tr w:rsidR="00F20F5E" w:rsidRPr="00B55437" w14:paraId="3BF99E01" w14:textId="77777777" w:rsidTr="00BA5037">
        <w:tc>
          <w:tcPr>
            <w:tcW w:w="1128" w:type="dxa"/>
            <w:vMerge/>
            <w:vAlign w:val="center"/>
          </w:tcPr>
          <w:p w14:paraId="7A857B31"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6DD3FBC3" w14:textId="7D356C7A" w:rsidR="00F20F5E" w:rsidRPr="00B55437" w:rsidRDefault="00F20F5E" w:rsidP="00E13ABB">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F38</w:t>
            </w:r>
            <w:proofErr w:type="spellEnd"/>
          </w:p>
        </w:tc>
        <w:tc>
          <w:tcPr>
            <w:tcW w:w="6503" w:type="dxa"/>
          </w:tcPr>
          <w:p w14:paraId="786E5681" w14:textId="058F7E02"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Incorporation into the system of specific cost formulas prepared by the user.</w:t>
            </w:r>
          </w:p>
        </w:tc>
      </w:tr>
      <w:tr w:rsidR="00F20F5E" w:rsidRPr="00B55437" w14:paraId="5550DBBA" w14:textId="77777777" w:rsidTr="00BA5037">
        <w:tc>
          <w:tcPr>
            <w:tcW w:w="1128" w:type="dxa"/>
            <w:vMerge/>
            <w:vAlign w:val="center"/>
          </w:tcPr>
          <w:p w14:paraId="4EE85AA7"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42EA9774" w14:textId="69F812C3" w:rsidR="00F20F5E" w:rsidRPr="00B55437" w:rsidRDefault="00F20F5E" w:rsidP="00E13ABB">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F46</w:t>
            </w:r>
            <w:proofErr w:type="spellEnd"/>
          </w:p>
        </w:tc>
        <w:tc>
          <w:tcPr>
            <w:tcW w:w="6503" w:type="dxa"/>
          </w:tcPr>
          <w:p w14:paraId="3CC10E5D" w14:textId="2C668B99"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Option to establish relationships among respective variables (driver-based planning).</w:t>
            </w:r>
          </w:p>
        </w:tc>
      </w:tr>
      <w:tr w:rsidR="00F20F5E" w:rsidRPr="00B55437" w14:paraId="7F65C587" w14:textId="77777777" w:rsidTr="00BA5037">
        <w:tc>
          <w:tcPr>
            <w:tcW w:w="1128" w:type="dxa"/>
            <w:vMerge/>
            <w:vAlign w:val="center"/>
          </w:tcPr>
          <w:p w14:paraId="3CA88123"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276EE4FF" w14:textId="750640B9" w:rsidR="00F20F5E" w:rsidRPr="00B55437" w:rsidRDefault="00F20F5E" w:rsidP="00E13ABB">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G8</w:t>
            </w:r>
            <w:proofErr w:type="spellEnd"/>
          </w:p>
        </w:tc>
        <w:tc>
          <w:tcPr>
            <w:tcW w:w="6503" w:type="dxa"/>
          </w:tcPr>
          <w:p w14:paraId="6453D6D6" w14:textId="0BEDF8BD"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Pre-defining planning rules for selected items and their aggregates.</w:t>
            </w:r>
          </w:p>
        </w:tc>
      </w:tr>
      <w:tr w:rsidR="00F20F5E" w:rsidRPr="00B55437" w14:paraId="53A53E24" w14:textId="77777777" w:rsidTr="00BA5037">
        <w:tc>
          <w:tcPr>
            <w:tcW w:w="1128" w:type="dxa"/>
            <w:vMerge/>
            <w:vAlign w:val="center"/>
          </w:tcPr>
          <w:p w14:paraId="7AE6FBDA"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0A58D981" w14:textId="598EAB1F" w:rsidR="00F20F5E" w:rsidRPr="00B55437" w:rsidRDefault="00F20F5E" w:rsidP="00E13ABB">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F26</w:t>
            </w:r>
            <w:proofErr w:type="spellEnd"/>
          </w:p>
        </w:tc>
        <w:tc>
          <w:tcPr>
            <w:tcW w:w="6503" w:type="dxa"/>
          </w:tcPr>
          <w:p w14:paraId="0D9CCE5B" w14:textId="51479735"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Automatic cascading of budget forecasts, and flexible aggregation and disaggregation of financial and volume data according to defined rules and selected criteria, including top-down planning.</w:t>
            </w:r>
          </w:p>
        </w:tc>
      </w:tr>
      <w:tr w:rsidR="00F20F5E" w:rsidRPr="00B55437" w14:paraId="48D0813C" w14:textId="77777777" w:rsidTr="00BA5037">
        <w:tc>
          <w:tcPr>
            <w:tcW w:w="1128" w:type="dxa"/>
            <w:vMerge/>
            <w:vAlign w:val="center"/>
          </w:tcPr>
          <w:p w14:paraId="1CC4221E"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2B5DAC98" w14:textId="5C97D7FA" w:rsidR="00F20F5E" w:rsidRPr="00B55437" w:rsidRDefault="00F20F5E" w:rsidP="00E13ABB">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F32</w:t>
            </w:r>
            <w:proofErr w:type="spellEnd"/>
          </w:p>
        </w:tc>
        <w:tc>
          <w:tcPr>
            <w:tcW w:w="6503" w:type="dxa"/>
          </w:tcPr>
          <w:p w14:paraId="43B318F0" w14:textId="17C07441"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Centralised planning and management of specific items in the financial statements, i.e. in accordance with the set objectives and assumptions.</w:t>
            </w:r>
          </w:p>
        </w:tc>
      </w:tr>
      <w:tr w:rsidR="00F20F5E" w:rsidRPr="00B55437" w14:paraId="3812D2CF" w14:textId="77777777" w:rsidTr="00BA5037">
        <w:tc>
          <w:tcPr>
            <w:tcW w:w="1128" w:type="dxa"/>
            <w:vMerge/>
            <w:vAlign w:val="center"/>
          </w:tcPr>
          <w:p w14:paraId="04913D3A"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52E684A1" w14:textId="70365744" w:rsidR="00F20F5E" w:rsidRPr="00B55437" w:rsidRDefault="00F20F5E" w:rsidP="00E13ABB">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G2</w:t>
            </w:r>
            <w:proofErr w:type="spellEnd"/>
          </w:p>
        </w:tc>
        <w:tc>
          <w:tcPr>
            <w:tcW w:w="6503" w:type="dxa"/>
          </w:tcPr>
          <w:p w14:paraId="707AF4EB" w14:textId="05033C12" w:rsidR="00F20F5E" w:rsidRPr="00B55437" w:rsidRDefault="00F20F5E" w:rsidP="00E13ABB">
            <w:pPr>
              <w:rPr>
                <w:rFonts w:ascii="Arial" w:hAnsi="Arial" w:cs="Arial"/>
                <w:i/>
                <w:iCs/>
                <w:smallCaps/>
                <w:color w:val="171717" w:themeColor="background2" w:themeShade="1A"/>
              </w:rPr>
            </w:pPr>
            <w:r>
              <w:rPr>
                <w:rFonts w:ascii="Arial" w:hAnsi="Arial"/>
                <w:i/>
                <w:smallCaps/>
                <w:color w:val="171717" w:themeColor="background2" w:themeShade="1A"/>
              </w:rPr>
              <w:t>Determination of fixed cost planning levels for selected items, objects and aggregates; setting limits and guidelines; and automatic verification of these guidelines.</w:t>
            </w:r>
          </w:p>
        </w:tc>
      </w:tr>
      <w:tr w:rsidR="00F20F5E" w:rsidRPr="00B55437" w14:paraId="72A8BECF" w14:textId="77777777" w:rsidTr="00BA5037">
        <w:tc>
          <w:tcPr>
            <w:tcW w:w="1128" w:type="dxa"/>
            <w:vMerge/>
            <w:vAlign w:val="center"/>
          </w:tcPr>
          <w:p w14:paraId="4A820F75" w14:textId="77777777" w:rsidR="00F20F5E" w:rsidRPr="00B55437" w:rsidRDefault="00F20F5E" w:rsidP="0059642E">
            <w:pPr>
              <w:jc w:val="center"/>
              <w:rPr>
                <w:rFonts w:ascii="Arial" w:hAnsi="Arial" w:cs="Arial"/>
                <w:i/>
                <w:iCs/>
                <w:smallCaps/>
                <w:color w:val="171717" w:themeColor="background2" w:themeShade="1A"/>
              </w:rPr>
            </w:pPr>
          </w:p>
        </w:tc>
        <w:tc>
          <w:tcPr>
            <w:tcW w:w="1441" w:type="dxa"/>
            <w:vAlign w:val="center"/>
          </w:tcPr>
          <w:p w14:paraId="7A97D830" w14:textId="21A49B27" w:rsidR="00F20F5E" w:rsidRPr="00B55437" w:rsidRDefault="00F20F5E" w:rsidP="0059642E">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G6</w:t>
            </w:r>
            <w:proofErr w:type="spellEnd"/>
          </w:p>
        </w:tc>
        <w:tc>
          <w:tcPr>
            <w:tcW w:w="6503" w:type="dxa"/>
          </w:tcPr>
          <w:p w14:paraId="2E4D9DBA" w14:textId="42E0F2EC" w:rsidR="00F20F5E" w:rsidRPr="00B55437" w:rsidRDefault="00F20F5E" w:rsidP="0059642E">
            <w:pPr>
              <w:rPr>
                <w:rFonts w:ascii="Arial" w:hAnsi="Arial" w:cs="Arial"/>
                <w:i/>
                <w:iCs/>
                <w:smallCaps/>
                <w:color w:val="171717" w:themeColor="background2" w:themeShade="1A"/>
              </w:rPr>
            </w:pPr>
            <w:r>
              <w:rPr>
                <w:rFonts w:ascii="Arial" w:hAnsi="Arial"/>
                <w:i/>
                <w:smallCaps/>
                <w:color w:val="171717" w:themeColor="background2" w:themeShade="1A"/>
              </w:rPr>
              <w:t>Defining, modifying and setting validation rules for any variables.</w:t>
            </w:r>
          </w:p>
        </w:tc>
      </w:tr>
      <w:tr w:rsidR="00F20F5E" w:rsidRPr="00B55437" w14:paraId="41731FE7" w14:textId="77777777" w:rsidTr="00BA5037">
        <w:tc>
          <w:tcPr>
            <w:tcW w:w="1128" w:type="dxa"/>
            <w:vMerge/>
            <w:vAlign w:val="center"/>
          </w:tcPr>
          <w:p w14:paraId="12DD50AC" w14:textId="77777777" w:rsidR="00F20F5E" w:rsidRPr="00B55437" w:rsidRDefault="00F20F5E" w:rsidP="0059642E">
            <w:pPr>
              <w:jc w:val="center"/>
              <w:rPr>
                <w:rFonts w:ascii="Arial" w:hAnsi="Arial" w:cs="Arial"/>
                <w:i/>
                <w:iCs/>
                <w:smallCaps/>
                <w:color w:val="171717" w:themeColor="background2" w:themeShade="1A"/>
              </w:rPr>
            </w:pPr>
          </w:p>
        </w:tc>
        <w:tc>
          <w:tcPr>
            <w:tcW w:w="1441" w:type="dxa"/>
            <w:vAlign w:val="center"/>
          </w:tcPr>
          <w:p w14:paraId="4F6C92F3" w14:textId="454BB298" w:rsidR="00F20F5E" w:rsidRPr="00B55437" w:rsidRDefault="00F20F5E" w:rsidP="0059642E">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G12</w:t>
            </w:r>
            <w:proofErr w:type="spellEnd"/>
          </w:p>
        </w:tc>
        <w:tc>
          <w:tcPr>
            <w:tcW w:w="6503" w:type="dxa"/>
          </w:tcPr>
          <w:p w14:paraId="134E6486" w14:textId="2A25DAC2" w:rsidR="00F20F5E" w:rsidRPr="00B55437" w:rsidRDefault="00F20F5E" w:rsidP="0059642E">
            <w:pPr>
              <w:rPr>
                <w:rFonts w:ascii="Arial" w:hAnsi="Arial" w:cs="Arial"/>
                <w:i/>
                <w:iCs/>
                <w:smallCaps/>
                <w:color w:val="171717" w:themeColor="background2" w:themeShade="1A"/>
              </w:rPr>
            </w:pPr>
            <w:r>
              <w:rPr>
                <w:rFonts w:ascii="Arial" w:hAnsi="Arial"/>
                <w:i/>
                <w:smallCaps/>
                <w:color w:val="171717" w:themeColor="background2" w:themeShade="1A"/>
              </w:rPr>
              <w:t>Forecasting taking into account outstanding liabilities.</w:t>
            </w:r>
          </w:p>
        </w:tc>
      </w:tr>
      <w:tr w:rsidR="00F20F5E" w:rsidRPr="00B55437" w14:paraId="14BE9709" w14:textId="77777777" w:rsidTr="00BA5037">
        <w:tc>
          <w:tcPr>
            <w:tcW w:w="1128" w:type="dxa"/>
            <w:vMerge/>
            <w:vAlign w:val="center"/>
          </w:tcPr>
          <w:p w14:paraId="01FAB0AB" w14:textId="77777777" w:rsidR="00F20F5E" w:rsidRPr="00B55437" w:rsidRDefault="00F20F5E" w:rsidP="0059642E">
            <w:pPr>
              <w:jc w:val="center"/>
              <w:rPr>
                <w:rFonts w:ascii="Arial" w:hAnsi="Arial" w:cs="Arial"/>
                <w:i/>
                <w:smallCaps/>
                <w:color w:val="171717" w:themeColor="background2" w:themeShade="1A"/>
              </w:rPr>
            </w:pPr>
          </w:p>
        </w:tc>
        <w:tc>
          <w:tcPr>
            <w:tcW w:w="1441" w:type="dxa"/>
            <w:vAlign w:val="center"/>
          </w:tcPr>
          <w:p w14:paraId="095849BF" w14:textId="005CF98B" w:rsidR="00F20F5E" w:rsidRPr="00B55437" w:rsidRDefault="00F20F5E" w:rsidP="0059642E">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G14</w:t>
            </w:r>
            <w:proofErr w:type="spellEnd"/>
          </w:p>
        </w:tc>
        <w:tc>
          <w:tcPr>
            <w:tcW w:w="6503" w:type="dxa"/>
          </w:tcPr>
          <w:p w14:paraId="1B11CBA7" w14:textId="1FAFF9AD" w:rsidR="00F20F5E" w:rsidRPr="00B55437" w:rsidRDefault="00F20F5E" w:rsidP="0059642E">
            <w:pPr>
              <w:rPr>
                <w:rFonts w:ascii="Arial" w:hAnsi="Arial" w:cs="Arial"/>
                <w:i/>
                <w:iCs/>
                <w:smallCaps/>
                <w:color w:val="171717" w:themeColor="background2" w:themeShade="1A"/>
              </w:rPr>
            </w:pPr>
            <w:r>
              <w:rPr>
                <w:rFonts w:ascii="Arial" w:hAnsi="Arial"/>
                <w:i/>
                <w:smallCaps/>
                <w:color w:val="171717" w:themeColor="background2" w:themeShade="1A"/>
              </w:rPr>
              <w:t>Preventing data entry above a specified limit, which may be set by: cost category, total costs, company, segment or area.</w:t>
            </w:r>
          </w:p>
        </w:tc>
      </w:tr>
      <w:tr w:rsidR="00F20F5E" w:rsidRPr="00B55437" w14:paraId="3C746CE5" w14:textId="77777777" w:rsidTr="00BA5037">
        <w:tc>
          <w:tcPr>
            <w:tcW w:w="1128" w:type="dxa"/>
            <w:vMerge/>
            <w:vAlign w:val="center"/>
          </w:tcPr>
          <w:p w14:paraId="7D95CE4B" w14:textId="77777777" w:rsidR="00F20F5E" w:rsidRPr="00B55437" w:rsidRDefault="00F20F5E" w:rsidP="0059642E">
            <w:pPr>
              <w:jc w:val="center"/>
              <w:rPr>
                <w:rFonts w:ascii="Arial" w:hAnsi="Arial" w:cs="Arial"/>
                <w:i/>
                <w:smallCaps/>
                <w:color w:val="171717" w:themeColor="background2" w:themeShade="1A"/>
              </w:rPr>
            </w:pPr>
          </w:p>
        </w:tc>
        <w:tc>
          <w:tcPr>
            <w:tcW w:w="1441" w:type="dxa"/>
            <w:vAlign w:val="center"/>
          </w:tcPr>
          <w:p w14:paraId="77181398" w14:textId="411881BF" w:rsidR="00F20F5E" w:rsidRPr="00B55437" w:rsidRDefault="00F20F5E" w:rsidP="0059642E">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F12</w:t>
            </w:r>
            <w:proofErr w:type="spellEnd"/>
          </w:p>
        </w:tc>
        <w:tc>
          <w:tcPr>
            <w:tcW w:w="6503" w:type="dxa"/>
          </w:tcPr>
          <w:p w14:paraId="71B4B443" w14:textId="25E4CD5D" w:rsidR="00F20F5E" w:rsidRPr="00B55437" w:rsidRDefault="00F20F5E" w:rsidP="0059642E">
            <w:pPr>
              <w:rPr>
                <w:rFonts w:ascii="Arial" w:hAnsi="Arial" w:cs="Arial"/>
                <w:i/>
                <w:iCs/>
                <w:smallCaps/>
                <w:color w:val="171717" w:themeColor="background2" w:themeShade="1A"/>
              </w:rPr>
            </w:pPr>
            <w:r>
              <w:rPr>
                <w:rFonts w:ascii="Arial" w:hAnsi="Arial"/>
                <w:i/>
                <w:smallCaps/>
                <w:color w:val="171717" w:themeColor="background2" w:themeShade="1A"/>
              </w:rPr>
              <w:t>Option to freely configure the planning method (manual, figures from previous periods, setting custom rules based on actual figures or detailed plans) at any planning level (account, group of accounts, reporting items, segment, company).</w:t>
            </w:r>
          </w:p>
        </w:tc>
      </w:tr>
      <w:tr w:rsidR="00F20F5E" w:rsidRPr="00B55437" w14:paraId="395D96A2" w14:textId="77777777" w:rsidTr="00BA5037">
        <w:tc>
          <w:tcPr>
            <w:tcW w:w="1128" w:type="dxa"/>
            <w:vMerge/>
            <w:vAlign w:val="center"/>
          </w:tcPr>
          <w:p w14:paraId="50BEE055" w14:textId="77777777" w:rsidR="00F20F5E" w:rsidRPr="00B55437" w:rsidRDefault="00F20F5E" w:rsidP="0059642E">
            <w:pPr>
              <w:jc w:val="center"/>
              <w:rPr>
                <w:rFonts w:ascii="Arial" w:hAnsi="Arial" w:cs="Arial"/>
                <w:i/>
                <w:smallCaps/>
                <w:color w:val="171717" w:themeColor="background2" w:themeShade="1A"/>
              </w:rPr>
            </w:pPr>
          </w:p>
        </w:tc>
        <w:tc>
          <w:tcPr>
            <w:tcW w:w="1441" w:type="dxa"/>
            <w:vAlign w:val="center"/>
          </w:tcPr>
          <w:p w14:paraId="45B107A7" w14:textId="060FE450" w:rsidR="00F20F5E" w:rsidRPr="00B55437" w:rsidRDefault="00F20F5E" w:rsidP="0059642E">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I2</w:t>
            </w:r>
            <w:proofErr w:type="spellEnd"/>
            <w:r>
              <w:rPr>
                <w:rFonts w:ascii="Arial" w:hAnsi="Arial"/>
                <w:i/>
                <w:smallCaps/>
                <w:color w:val="171717" w:themeColor="background2" w:themeShade="1A"/>
              </w:rPr>
              <w:t xml:space="preserve"> </w:t>
            </w:r>
          </w:p>
        </w:tc>
        <w:tc>
          <w:tcPr>
            <w:tcW w:w="6503" w:type="dxa"/>
          </w:tcPr>
          <w:p w14:paraId="337F654A" w14:textId="3EAF1DA6" w:rsidR="00F20F5E" w:rsidRPr="00B55437" w:rsidRDefault="00F20F5E" w:rsidP="0059642E">
            <w:pPr>
              <w:rPr>
                <w:rFonts w:ascii="Arial" w:hAnsi="Arial" w:cs="Arial"/>
                <w:i/>
                <w:iCs/>
                <w:smallCaps/>
                <w:color w:val="171717" w:themeColor="background2" w:themeShade="1A"/>
              </w:rPr>
            </w:pPr>
            <w:r>
              <w:rPr>
                <w:rFonts w:ascii="Arial" w:hAnsi="Arial"/>
                <w:i/>
                <w:smallCaps/>
                <w:color w:val="171717" w:themeColor="background2" w:themeShade="1A"/>
              </w:rPr>
              <w:t>A comparison of plans with specific objectives and budgetary constraints.</w:t>
            </w:r>
          </w:p>
        </w:tc>
      </w:tr>
      <w:tr w:rsidR="00BA5037" w:rsidRPr="00B55437" w14:paraId="58BC0C28" w14:textId="77777777" w:rsidTr="00BA5037">
        <w:tc>
          <w:tcPr>
            <w:tcW w:w="1128" w:type="dxa"/>
            <w:vAlign w:val="center"/>
          </w:tcPr>
          <w:p w14:paraId="2B08CB26" w14:textId="77777777" w:rsidR="00BA5037" w:rsidRPr="00B55437" w:rsidRDefault="00BA5037" w:rsidP="0059642E">
            <w:pPr>
              <w:jc w:val="center"/>
              <w:rPr>
                <w:rFonts w:ascii="Arial" w:hAnsi="Arial" w:cs="Arial"/>
                <w:i/>
                <w:smallCaps/>
                <w:color w:val="171717" w:themeColor="background2" w:themeShade="1A"/>
              </w:rPr>
            </w:pPr>
          </w:p>
        </w:tc>
        <w:tc>
          <w:tcPr>
            <w:tcW w:w="1441" w:type="dxa"/>
            <w:vAlign w:val="center"/>
          </w:tcPr>
          <w:p w14:paraId="0B6627E1" w14:textId="71ACF72B" w:rsidR="00BA5037" w:rsidRPr="00B55437" w:rsidRDefault="00BA5037" w:rsidP="0059642E">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F41</w:t>
            </w:r>
            <w:proofErr w:type="spellEnd"/>
          </w:p>
        </w:tc>
        <w:tc>
          <w:tcPr>
            <w:tcW w:w="6503" w:type="dxa"/>
          </w:tcPr>
          <w:p w14:paraId="6914A99E" w14:textId="583C9CD7" w:rsidR="00BA5037" w:rsidRPr="00B55437" w:rsidRDefault="004341D5" w:rsidP="0059642E">
            <w:pPr>
              <w:rPr>
                <w:rFonts w:ascii="Arial" w:hAnsi="Arial" w:cs="Arial"/>
                <w:i/>
                <w:iCs/>
                <w:smallCaps/>
                <w:color w:val="171717" w:themeColor="background2" w:themeShade="1A"/>
              </w:rPr>
            </w:pPr>
            <w:r>
              <w:rPr>
                <w:rFonts w:ascii="Arial" w:hAnsi="Arial"/>
                <w:i/>
                <w:smallCaps/>
                <w:color w:val="171717" w:themeColor="background2" w:themeShade="1A"/>
              </w:rPr>
              <w:t>Definition and management of the approved glossary, budgetary rules, and cost and pricing formulas from the business administrator’s perspective.</w:t>
            </w:r>
          </w:p>
        </w:tc>
      </w:tr>
    </w:tbl>
    <w:p w14:paraId="67CE5A25" w14:textId="77777777" w:rsidR="00B96618" w:rsidRPr="00B55437" w:rsidRDefault="00B96618" w:rsidP="00B96618">
      <w:pPr>
        <w:rPr>
          <w:rFonts w:ascii="Arial" w:hAnsi="Arial" w:cs="Arial"/>
          <w:i/>
          <w:iCs/>
          <w:smallCaps/>
          <w:color w:val="171717" w:themeColor="background2" w:themeShade="1A"/>
        </w:rPr>
      </w:pPr>
    </w:p>
    <w:p w14:paraId="72653373" w14:textId="3929CA58" w:rsidR="00B96618" w:rsidRPr="00B55437" w:rsidRDefault="00B96618" w:rsidP="004A2199">
      <w:pPr>
        <w:pStyle w:val="Nagwek1"/>
        <w:numPr>
          <w:ilvl w:val="1"/>
          <w:numId w:val="41"/>
        </w:numPr>
        <w:spacing w:before="0" w:after="120" w:line="240" w:lineRule="auto"/>
        <w:ind w:left="431" w:hanging="431"/>
        <w:rPr>
          <w:rFonts w:ascii="Arial" w:hAnsi="Arial" w:cs="Arial"/>
          <w:b/>
          <w:bCs/>
          <w:color w:val="auto"/>
          <w:sz w:val="22"/>
          <w:szCs w:val="22"/>
        </w:rPr>
      </w:pPr>
      <w:bookmarkStart w:id="12" w:name="_Toc2043413067"/>
      <w:r w:rsidRPr="6941ADB9">
        <w:rPr>
          <w:rFonts w:ascii="Arial" w:hAnsi="Arial"/>
          <w:b/>
          <w:bCs/>
          <w:color w:val="auto"/>
          <w:sz w:val="22"/>
          <w:szCs w:val="22"/>
        </w:rPr>
        <w:t>Use case description</w:t>
      </w:r>
      <w:bookmarkEnd w:id="12"/>
      <w:r w:rsidRPr="6941ADB9">
        <w:rPr>
          <w:rFonts w:ascii="Arial" w:hAnsi="Arial"/>
          <w:b/>
          <w:bCs/>
          <w:color w:val="auto"/>
          <w:sz w:val="22"/>
          <w:szCs w:val="22"/>
        </w:rPr>
        <w:t xml:space="preserve"> </w:t>
      </w:r>
    </w:p>
    <w:p w14:paraId="4401A387" w14:textId="77777777" w:rsidR="00B47CCB" w:rsidRDefault="00B47CCB">
      <w:r>
        <w:rPr>
          <w:rFonts w:ascii="Arial" w:hAnsi="Arial"/>
        </w:rPr>
        <w:t xml:space="preserve">The ORLEN Group aims to achieve full flexibility in reviewing the plans of its subsidiaries and business units, and in managing the planning process centrally (at the capital group level). The examples below are an extract from the expected, illustrative functionalities designed to achieve the aforementioned objective. For the purposes of this case study, let us therefore assume that, as part of the configuration of a specific planning process within the </w:t>
      </w:r>
      <w:proofErr w:type="spellStart"/>
      <w:r>
        <w:rPr>
          <w:rFonts w:ascii="Arial" w:hAnsi="Arial"/>
        </w:rPr>
        <w:t>EPM</w:t>
      </w:r>
      <w:proofErr w:type="spellEnd"/>
      <w:r>
        <w:rPr>
          <w:rFonts w:ascii="Arial" w:hAnsi="Arial"/>
        </w:rPr>
        <w:t xml:space="preserve"> system:</w:t>
      </w:r>
    </w:p>
    <w:p w14:paraId="579DD298" w14:textId="16530A7A" w:rsidR="00D712E0" w:rsidRPr="00B55437" w:rsidRDefault="0023526C" w:rsidP="00F57AED">
      <w:pPr>
        <w:pStyle w:val="Akapitzlist"/>
        <w:numPr>
          <w:ilvl w:val="0"/>
          <w:numId w:val="6"/>
        </w:numPr>
        <w:rPr>
          <w:rFonts w:ascii="Arial" w:hAnsi="Arial" w:cs="Arial"/>
        </w:rPr>
      </w:pPr>
      <w:r w:rsidRPr="00EE713B">
        <w:rPr>
          <w:rFonts w:ascii="Arial" w:hAnsi="Arial"/>
          <w:b/>
          <w:bCs/>
        </w:rPr>
        <w:t>financial costs</w:t>
      </w:r>
      <w:r>
        <w:rPr>
          <w:rFonts w:ascii="Arial" w:hAnsi="Arial"/>
        </w:rPr>
        <w:t xml:space="preserve"> for new (i.e. those not existing at the start of the planning process) loans and borrowings across all subsidiaries are to be planned centrally by the ABC Office at ORLEN S.A., operating at the parent company level. Subsidiaries are to plan only those items that indicate the level of cash requirements or financial surplus </w:t>
      </w:r>
      <w:r>
        <w:rPr>
          <w:rFonts w:ascii="Arial" w:hAnsi="Arial"/>
        </w:rPr>
        <w:lastRenderedPageBreak/>
        <w:t>(operational planning) in excess of existing sources of funding, and to accept or reject the funding plan incorporated into the company’s plan at head office level,</w:t>
      </w:r>
    </w:p>
    <w:p w14:paraId="7958E73C" w14:textId="60DE6A58" w:rsidR="006A7C62" w:rsidRPr="00B55437" w:rsidRDefault="00D52402" w:rsidP="00F57AED">
      <w:pPr>
        <w:pStyle w:val="Akapitzlist"/>
        <w:numPr>
          <w:ilvl w:val="0"/>
          <w:numId w:val="6"/>
        </w:numPr>
        <w:rPr>
          <w:rFonts w:ascii="Arial" w:hAnsi="Arial" w:cs="Arial"/>
        </w:rPr>
      </w:pPr>
      <w:r>
        <w:rPr>
          <w:rFonts w:ascii="Arial" w:hAnsi="Arial"/>
        </w:rPr>
        <w:t xml:space="preserve">The ORLEN Group’s planning target for year n is </w:t>
      </w:r>
      <w:r>
        <w:rPr>
          <w:rFonts w:ascii="Arial" w:hAnsi="Arial"/>
          <w:b/>
        </w:rPr>
        <w:t>to reduce the Group’s external fixed costs</w:t>
      </w:r>
      <w:r>
        <w:rPr>
          <w:rFonts w:ascii="Arial" w:hAnsi="Arial"/>
        </w:rPr>
        <w:t xml:space="preserve"> (excluding depreciation, training costs, team-building costs, accounting services, refurbishments, office supplies and tyre replacements for vehicles) by 5 per cent year-on-year. </w:t>
      </w:r>
    </w:p>
    <w:p w14:paraId="65EA6A2D" w14:textId="77777777" w:rsidR="006A7C62" w:rsidRPr="00B55437" w:rsidRDefault="006A7C62" w:rsidP="006A7C62">
      <w:pPr>
        <w:pStyle w:val="Akapitzlist"/>
        <w:ind w:left="1440"/>
        <w:rPr>
          <w:rFonts w:ascii="Arial" w:hAnsi="Arial" w:cs="Arial"/>
        </w:rPr>
      </w:pPr>
    </w:p>
    <w:p w14:paraId="047DFAB1" w14:textId="7BAAE399" w:rsidR="006A7C62" w:rsidRPr="00B55437" w:rsidRDefault="00EA5AA4" w:rsidP="00F57AED">
      <w:pPr>
        <w:pStyle w:val="Akapitzlist"/>
        <w:rPr>
          <w:rFonts w:ascii="Arial" w:hAnsi="Arial" w:cs="Arial"/>
        </w:rPr>
      </w:pPr>
      <w:r>
        <w:rPr>
          <w:rFonts w:ascii="Arial" w:hAnsi="Arial"/>
        </w:rPr>
        <w:t xml:space="preserve">This objective is to be cascaded down to the segment level and then to the level of individual companies within those segments. </w:t>
      </w:r>
    </w:p>
    <w:p w14:paraId="0A0DBBB1" w14:textId="69E1E182" w:rsidR="006A7C62" w:rsidRPr="00B55437" w:rsidRDefault="00047193" w:rsidP="00F57AED">
      <w:pPr>
        <w:ind w:left="708"/>
        <w:rPr>
          <w:rFonts w:ascii="Arial" w:hAnsi="Arial" w:cs="Arial"/>
        </w:rPr>
      </w:pPr>
      <w:r>
        <w:rPr>
          <w:rFonts w:ascii="Arial" w:hAnsi="Arial"/>
        </w:rPr>
        <w:t xml:space="preserve">At segment level, the key criterion for dividing the target into segments is to be the percentage share of a given segment in the Group’s total consolidated external fixed costs covered by the optimisation. </w:t>
      </w:r>
    </w:p>
    <w:p w14:paraId="7FE4795A" w14:textId="02A78531" w:rsidR="00373361" w:rsidRPr="00B55437" w:rsidRDefault="00071449" w:rsidP="00F57AED">
      <w:pPr>
        <w:ind w:left="708"/>
        <w:rPr>
          <w:rFonts w:ascii="Arial" w:hAnsi="Arial" w:cs="Arial"/>
        </w:rPr>
      </w:pPr>
      <w:r>
        <w:rPr>
          <w:rFonts w:ascii="Arial" w:hAnsi="Arial"/>
        </w:rPr>
        <w:t xml:space="preserve">At the level of companies within a specific Segment, the allocation of the target is to be based on the percentage share of the company in question in the listed consolidated items for that Segment, as set out below, and on the weighting assigned to the relevant criterion: </w:t>
      </w:r>
    </w:p>
    <w:p w14:paraId="34611C27" w14:textId="5964E5FD" w:rsidR="00373361" w:rsidRPr="00B55437" w:rsidRDefault="00E54C4D" w:rsidP="00A546E2">
      <w:pPr>
        <w:pStyle w:val="Akapitzlist"/>
        <w:numPr>
          <w:ilvl w:val="0"/>
          <w:numId w:val="11"/>
        </w:numPr>
        <w:spacing w:after="0"/>
        <w:ind w:left="2268" w:hanging="567"/>
        <w:contextualSpacing w:val="0"/>
        <w:rPr>
          <w:rFonts w:ascii="Arial" w:hAnsi="Arial" w:cs="Arial"/>
        </w:rPr>
      </w:pPr>
      <w:r>
        <w:rPr>
          <w:rFonts w:ascii="Arial" w:hAnsi="Arial"/>
        </w:rPr>
        <w:t>the company’s share of the segment’s fixed assets: weighting 40%</w:t>
      </w:r>
    </w:p>
    <w:p w14:paraId="086B265B" w14:textId="02636CD6" w:rsidR="00373361" w:rsidRPr="00B55437" w:rsidRDefault="00E54C4D" w:rsidP="00A546E2">
      <w:pPr>
        <w:pStyle w:val="Akapitzlist"/>
        <w:numPr>
          <w:ilvl w:val="0"/>
          <w:numId w:val="11"/>
        </w:numPr>
        <w:spacing w:after="0"/>
        <w:ind w:left="2268" w:hanging="567"/>
        <w:contextualSpacing w:val="0"/>
        <w:rPr>
          <w:rFonts w:ascii="Arial" w:hAnsi="Arial" w:cs="Arial"/>
        </w:rPr>
      </w:pPr>
      <w:r>
        <w:rPr>
          <w:rFonts w:ascii="Arial" w:hAnsi="Arial"/>
        </w:rPr>
        <w:t xml:space="preserve">the company’s share of the segment’s fixed costs covered by the optimisation: weighting 30% </w:t>
      </w:r>
    </w:p>
    <w:p w14:paraId="4AB49C0F" w14:textId="7F213276" w:rsidR="0037063D" w:rsidRPr="00B55437" w:rsidRDefault="00341EF7" w:rsidP="00A546E2">
      <w:pPr>
        <w:pStyle w:val="Akapitzlist"/>
        <w:numPr>
          <w:ilvl w:val="0"/>
          <w:numId w:val="11"/>
        </w:numPr>
        <w:spacing w:after="120"/>
        <w:ind w:left="2268" w:hanging="567"/>
        <w:contextualSpacing w:val="0"/>
        <w:rPr>
          <w:rFonts w:ascii="Arial" w:hAnsi="Arial" w:cs="Arial"/>
        </w:rPr>
      </w:pPr>
      <w:r>
        <w:rPr>
          <w:rFonts w:ascii="Arial" w:hAnsi="Arial"/>
        </w:rPr>
        <w:t xml:space="preserve">the company’s share of the segment’s total FTEs: weighting 30%. </w:t>
      </w:r>
    </w:p>
    <w:p w14:paraId="1299D1AE" w14:textId="2F84850D" w:rsidR="007C17B4" w:rsidRPr="00B55437" w:rsidRDefault="00103B92" w:rsidP="00F57AED">
      <w:pPr>
        <w:pStyle w:val="Akapitzlist"/>
        <w:numPr>
          <w:ilvl w:val="0"/>
          <w:numId w:val="6"/>
        </w:numPr>
        <w:rPr>
          <w:rFonts w:ascii="Arial" w:hAnsi="Arial" w:cs="Arial"/>
        </w:rPr>
      </w:pPr>
      <w:r>
        <w:rPr>
          <w:rFonts w:ascii="Arial" w:hAnsi="Arial"/>
        </w:rPr>
        <w:t>As part of the planning process, subsidiaries are to budget for</w:t>
      </w:r>
      <w:r w:rsidRPr="00B55437">
        <w:rPr>
          <w:rFonts w:ascii="Arial" w:hAnsi="Arial"/>
          <w:b/>
          <w:bCs/>
        </w:rPr>
        <w:t xml:space="preserve"> training costs based </w:t>
      </w:r>
      <w:r>
        <w:rPr>
          <w:rFonts w:ascii="Arial" w:hAnsi="Arial"/>
        </w:rPr>
        <w:t xml:space="preserve">on a rate of PLN 3,500 per year multiplied by the average annual planned number of FTEs. The planning method is to be implemented in the system as the standard planning algorithm at the central level. </w:t>
      </w:r>
    </w:p>
    <w:p w14:paraId="2412C5E5" w14:textId="168FD5E5" w:rsidR="00CE6EC2" w:rsidRPr="00B55437" w:rsidRDefault="00F2473C" w:rsidP="00F57AED">
      <w:pPr>
        <w:pStyle w:val="Akapitzlist"/>
        <w:numPr>
          <w:ilvl w:val="0"/>
          <w:numId w:val="6"/>
        </w:numPr>
        <w:rPr>
          <w:rFonts w:ascii="Arial" w:hAnsi="Arial" w:cs="Arial"/>
        </w:rPr>
      </w:pPr>
      <w:r>
        <w:rPr>
          <w:rFonts w:ascii="Arial" w:hAnsi="Arial"/>
          <w:spacing w:val="-6"/>
        </w:rPr>
        <w:t xml:space="preserve">As part of </w:t>
      </w:r>
      <w:r>
        <w:rPr>
          <w:rFonts w:ascii="Arial" w:hAnsi="Arial"/>
          <w:b/>
          <w:spacing w:val="-6"/>
        </w:rPr>
        <w:t>the costs for team-building events</w:t>
      </w:r>
      <w:r>
        <w:rPr>
          <w:rFonts w:ascii="Arial" w:hAnsi="Arial"/>
          <w:spacing w:val="-6"/>
        </w:rPr>
        <w:t xml:space="preserve">, the company has a pre-determined budget limit set centrally; that is, the amount may not exceed PLN 100 thousand. </w:t>
      </w:r>
    </w:p>
    <w:p w14:paraId="4633A421" w14:textId="77777777" w:rsidR="00836374" w:rsidRPr="00B55437" w:rsidRDefault="00836374" w:rsidP="00CE6EC2">
      <w:pPr>
        <w:pStyle w:val="Akapitzlist"/>
        <w:ind w:left="1440"/>
        <w:rPr>
          <w:rFonts w:ascii="Arial" w:hAnsi="Arial" w:cs="Arial"/>
        </w:rPr>
      </w:pPr>
    </w:p>
    <w:p w14:paraId="5986527F" w14:textId="77777777" w:rsidR="00B47CCB" w:rsidRDefault="00B47CCB">
      <w:pPr>
        <w:pStyle w:val="Akapitzlist"/>
        <w:spacing w:after="120"/>
        <w:ind w:left="714"/>
      </w:pPr>
      <w:r>
        <w:rPr>
          <w:rFonts w:ascii="Arial" w:hAnsi="Arial"/>
        </w:rPr>
        <w:t>In the event that, during the first stage of the planning process – i.e. after requirements have been gathered from the various departments – the company exceeds the aforementioned limit, the planning method should be switched to automatic, meaning that the budgets prepared for the company’s individual departments are to be systematically reduced so that:</w:t>
      </w:r>
    </w:p>
    <w:p w14:paraId="169B1256" w14:textId="77777777" w:rsidR="00035223" w:rsidRPr="00B55437" w:rsidRDefault="00035223" w:rsidP="00A546E2">
      <w:pPr>
        <w:pStyle w:val="Akapitzlist"/>
        <w:numPr>
          <w:ilvl w:val="0"/>
          <w:numId w:val="11"/>
        </w:numPr>
        <w:spacing w:after="0"/>
        <w:ind w:left="2268" w:hanging="567"/>
        <w:contextualSpacing w:val="0"/>
        <w:rPr>
          <w:rFonts w:ascii="Arial" w:hAnsi="Arial" w:cs="Arial"/>
        </w:rPr>
      </w:pPr>
      <w:r>
        <w:rPr>
          <w:rFonts w:ascii="Arial" w:hAnsi="Arial"/>
        </w:rPr>
        <w:t xml:space="preserve">at the company level, the total budget was in line with the allocated annual limit  </w:t>
      </w:r>
    </w:p>
    <w:p w14:paraId="0CF9A90E" w14:textId="65465CDA" w:rsidR="00A129B9" w:rsidRPr="00B55437" w:rsidRDefault="00BB3944" w:rsidP="00A546E2">
      <w:pPr>
        <w:pStyle w:val="Akapitzlist"/>
        <w:numPr>
          <w:ilvl w:val="0"/>
          <w:numId w:val="11"/>
        </w:numPr>
        <w:spacing w:after="120"/>
        <w:ind w:left="2268" w:hanging="567"/>
        <w:contextualSpacing w:val="0"/>
        <w:rPr>
          <w:rFonts w:ascii="Arial" w:hAnsi="Arial" w:cs="Arial"/>
        </w:rPr>
      </w:pPr>
      <w:r>
        <w:rPr>
          <w:rFonts w:ascii="Arial" w:hAnsi="Arial"/>
        </w:rPr>
        <w:t xml:space="preserve">the level of costs in each of the company’s departments was identical in monetary terms when calculated on an FTE basis, with the exception of the Sales Division, where the costs of team-building events may be 1.2 times the average level per FTE in the other organisational units. </w:t>
      </w:r>
    </w:p>
    <w:p w14:paraId="247333D6" w14:textId="66F2A6EA" w:rsidR="00200F88" w:rsidRPr="00B55437" w:rsidRDefault="00200F88" w:rsidP="00F57AED">
      <w:pPr>
        <w:pStyle w:val="Akapitzlist"/>
        <w:numPr>
          <w:ilvl w:val="0"/>
          <w:numId w:val="6"/>
        </w:numPr>
        <w:rPr>
          <w:rFonts w:ascii="Arial" w:hAnsi="Arial" w:cs="Arial"/>
        </w:rPr>
      </w:pPr>
      <w:r>
        <w:rPr>
          <w:rFonts w:ascii="Arial" w:hAnsi="Arial"/>
          <w:b/>
        </w:rPr>
        <w:t>During the planning process, refurbishment costs</w:t>
      </w:r>
      <w:r>
        <w:rPr>
          <w:rFonts w:ascii="Arial" w:hAnsi="Arial"/>
        </w:rPr>
        <w:t xml:space="preserve"> are to be compared on an ongoing basis against the strategic </w:t>
      </w:r>
      <w:proofErr w:type="spellStart"/>
      <w:r>
        <w:rPr>
          <w:rFonts w:ascii="Arial" w:hAnsi="Arial"/>
        </w:rPr>
        <w:t>KPI</w:t>
      </w:r>
      <w:proofErr w:type="spellEnd"/>
      <w:r>
        <w:rPr>
          <w:rFonts w:ascii="Arial" w:hAnsi="Arial"/>
        </w:rPr>
        <w:t xml:space="preserve">, and this comparison must be visible to the planner (the </w:t>
      </w:r>
      <w:proofErr w:type="spellStart"/>
      <w:r>
        <w:rPr>
          <w:rFonts w:ascii="Arial" w:hAnsi="Arial"/>
        </w:rPr>
        <w:t>KPI</w:t>
      </w:r>
      <w:proofErr w:type="spellEnd"/>
      <w:r>
        <w:rPr>
          <w:rFonts w:ascii="Arial" w:hAnsi="Arial"/>
        </w:rPr>
        <w:t xml:space="preserve"> is the annual refurbishment cost of a specific asset/the initial value of that asset × 100 &lt; 5%). During the planning process, before the plan is approved and sent to the parent company, the company’s CFO is to be informed of all instances where the business owner of the refurbishment division within the company has planned to not perform the specified </w:t>
      </w:r>
      <w:proofErr w:type="spellStart"/>
      <w:r>
        <w:rPr>
          <w:rFonts w:ascii="Arial" w:hAnsi="Arial"/>
        </w:rPr>
        <w:t>KPI</w:t>
      </w:r>
      <w:proofErr w:type="spellEnd"/>
      <w:r>
        <w:rPr>
          <w:rFonts w:ascii="Arial" w:hAnsi="Arial"/>
        </w:rPr>
        <w:t xml:space="preserve">, with the option to "accept" or "reject" for correction. </w:t>
      </w:r>
    </w:p>
    <w:p w14:paraId="54EFF421" w14:textId="6A719FB0" w:rsidR="009C2033" w:rsidRPr="00B55437" w:rsidRDefault="00A77D00" w:rsidP="00A546E2">
      <w:pPr>
        <w:pStyle w:val="Akapitzlist"/>
        <w:numPr>
          <w:ilvl w:val="0"/>
          <w:numId w:val="11"/>
        </w:numPr>
        <w:spacing w:after="120"/>
        <w:ind w:left="2268" w:hanging="567"/>
        <w:contextualSpacing w:val="0"/>
        <w:rPr>
          <w:rFonts w:ascii="Arial" w:hAnsi="Arial" w:cs="Arial"/>
        </w:rPr>
      </w:pPr>
      <w:r>
        <w:rPr>
          <w:rFonts w:ascii="Arial" w:hAnsi="Arial"/>
        </w:rPr>
        <w:t xml:space="preserve">The company’s renovation plan, approved by the entity’s CFO and setting out potential deviations from the </w:t>
      </w:r>
      <w:proofErr w:type="spellStart"/>
      <w:r>
        <w:rPr>
          <w:rFonts w:ascii="Arial" w:hAnsi="Arial"/>
        </w:rPr>
        <w:t>KPIs</w:t>
      </w:r>
      <w:proofErr w:type="spellEnd"/>
      <w:r>
        <w:rPr>
          <w:rFonts w:ascii="Arial" w:hAnsi="Arial"/>
        </w:rPr>
        <w:t xml:space="preserve">, is to be forwarded to the Technical Director at the parent company, together with a list of assets affected by an unfavourable deviation from the strategic </w:t>
      </w:r>
      <w:proofErr w:type="spellStart"/>
      <w:r>
        <w:rPr>
          <w:rFonts w:ascii="Arial" w:hAnsi="Arial"/>
        </w:rPr>
        <w:t>KPI</w:t>
      </w:r>
      <w:proofErr w:type="spellEnd"/>
      <w:r>
        <w:rPr>
          <w:rFonts w:ascii="Arial" w:hAnsi="Arial"/>
        </w:rPr>
        <w:t>, with the option to approve/reject for correction.</w:t>
      </w:r>
    </w:p>
    <w:p w14:paraId="30CFAF45" w14:textId="4ADFA16E" w:rsidR="009633CB" w:rsidRPr="00B55437" w:rsidRDefault="006F7D84" w:rsidP="00F57AED">
      <w:pPr>
        <w:pStyle w:val="Akapitzlist"/>
        <w:numPr>
          <w:ilvl w:val="0"/>
          <w:numId w:val="6"/>
        </w:numPr>
        <w:spacing w:after="120"/>
        <w:ind w:left="714" w:hanging="357"/>
        <w:contextualSpacing w:val="0"/>
        <w:rPr>
          <w:rFonts w:ascii="Arial" w:hAnsi="Arial" w:cs="Arial"/>
        </w:rPr>
      </w:pPr>
      <w:r w:rsidRPr="0ACB65A7">
        <w:rPr>
          <w:rFonts w:ascii="Arial" w:hAnsi="Arial"/>
        </w:rPr>
        <w:lastRenderedPageBreak/>
        <w:t xml:space="preserve">When planning </w:t>
      </w:r>
      <w:r w:rsidRPr="0ACB65A7">
        <w:rPr>
          <w:rFonts w:ascii="Arial" w:hAnsi="Arial"/>
          <w:b/>
          <w:bCs/>
        </w:rPr>
        <w:t>accounting service costs</w:t>
      </w:r>
      <w:r w:rsidRPr="0ACB65A7">
        <w:rPr>
          <w:rFonts w:ascii="Arial" w:hAnsi="Arial"/>
        </w:rPr>
        <w:t xml:space="preserve"> within the company’s analytical market, only the following planning formulas are to be used, depending on the Segment to which the company is assigned (formulas defined at the level of central parameterisation of the planning process in a </w:t>
      </w:r>
      <w:proofErr w:type="spellStart"/>
      <w:r w:rsidRPr="0ACB65A7">
        <w:rPr>
          <w:rFonts w:ascii="Arial" w:hAnsi="Arial"/>
        </w:rPr>
        <w:t>spcific</w:t>
      </w:r>
      <w:proofErr w:type="spellEnd"/>
      <w:r w:rsidRPr="0ACB65A7">
        <w:rPr>
          <w:rFonts w:ascii="Arial" w:hAnsi="Arial"/>
        </w:rPr>
        <w:t xml:space="preserve"> plan iteration):</w:t>
      </w:r>
    </w:p>
    <w:p w14:paraId="3581083B" w14:textId="02AA8305" w:rsidR="00694A15" w:rsidRPr="00B55437" w:rsidRDefault="00694A15" w:rsidP="00A546E2">
      <w:pPr>
        <w:pStyle w:val="Akapitzlist"/>
        <w:numPr>
          <w:ilvl w:val="0"/>
          <w:numId w:val="10"/>
        </w:numPr>
        <w:spacing w:before="120" w:after="0" w:line="360" w:lineRule="auto"/>
        <w:rPr>
          <w:rFonts w:ascii="Arial" w:hAnsi="Arial" w:cs="Arial"/>
          <w:b/>
          <w:bCs/>
        </w:rPr>
      </w:pPr>
      <w:r>
        <w:rPr>
          <w:rFonts w:ascii="Arial" w:hAnsi="Arial"/>
          <w:b/>
        </w:rPr>
        <w:t>Historical value – companies in Segment A only</w:t>
      </w:r>
    </w:p>
    <w:p w14:paraId="32258A23" w14:textId="633EF090" w:rsidR="00694A15" w:rsidRPr="00B55437" w:rsidRDefault="00694A15" w:rsidP="0072136D">
      <w:pPr>
        <w:spacing w:line="240" w:lineRule="auto"/>
        <w:ind w:left="1068" w:firstLine="12"/>
        <w:rPr>
          <w:rFonts w:ascii="Arial" w:hAnsi="Arial" w:cs="Arial"/>
        </w:rPr>
      </w:pPr>
      <w:r>
        <w:rPr>
          <w:rFonts w:ascii="Arial" w:hAnsi="Arial"/>
        </w:rPr>
        <w:t>Costs planned using this method may only be applied to companies in Segment A; they should be planned on the basis of appropriately selected historical cost figures (e.g. the figure from the previous year, from the last three (3) months, the median /modal value for the selected period), taking into account a duly specified indexing factor:</w:t>
      </w:r>
    </w:p>
    <w:p w14:paraId="65313E39" w14:textId="77777777" w:rsidR="00694A15" w:rsidRPr="00B55437" w:rsidRDefault="00694A15" w:rsidP="00A546E2">
      <w:pPr>
        <w:pStyle w:val="Akapitzlist"/>
        <w:numPr>
          <w:ilvl w:val="0"/>
          <w:numId w:val="12"/>
        </w:numPr>
        <w:spacing w:after="240" w:line="240" w:lineRule="auto"/>
        <w:ind w:left="1843" w:hanging="567"/>
        <w:rPr>
          <w:rFonts w:ascii="Arial" w:hAnsi="Arial" w:cs="Arial"/>
        </w:rPr>
      </w:pPr>
      <w:r>
        <w:rPr>
          <w:rFonts w:ascii="Arial" w:hAnsi="Arial"/>
        </w:rPr>
        <w:t>For costs covered by long-term contracts, the indexation rate should be selected in accordance with the terms of the contract;</w:t>
      </w:r>
    </w:p>
    <w:p w14:paraId="2D2D04EC" w14:textId="77777777" w:rsidR="00694A15" w:rsidRPr="00B55437" w:rsidRDefault="00694A15" w:rsidP="00A546E2">
      <w:pPr>
        <w:pStyle w:val="Akapitzlist"/>
        <w:numPr>
          <w:ilvl w:val="0"/>
          <w:numId w:val="12"/>
        </w:numPr>
        <w:spacing w:before="120" w:after="0" w:line="240" w:lineRule="auto"/>
        <w:ind w:left="1843" w:hanging="567"/>
        <w:rPr>
          <w:rFonts w:ascii="Arial" w:hAnsi="Arial" w:cs="Arial"/>
        </w:rPr>
      </w:pPr>
      <w:r>
        <w:rPr>
          <w:rFonts w:ascii="Arial" w:hAnsi="Arial"/>
        </w:rPr>
        <w:t>For costs not specified in contracts, the determining indicators should be selected on the basis of the planner’s expert assessment. The selection of the impact indicator should be based on:</w:t>
      </w:r>
    </w:p>
    <w:p w14:paraId="3322A102" w14:textId="77777777" w:rsidR="00694A15" w:rsidRPr="00B55437" w:rsidRDefault="00694A15" w:rsidP="00A546E2">
      <w:pPr>
        <w:pStyle w:val="Akapitzlist"/>
        <w:numPr>
          <w:ilvl w:val="2"/>
          <w:numId w:val="12"/>
        </w:numPr>
        <w:spacing w:after="0" w:line="240" w:lineRule="auto"/>
        <w:ind w:left="2268" w:hanging="283"/>
        <w:contextualSpacing w:val="0"/>
        <w:rPr>
          <w:rFonts w:ascii="Arial" w:hAnsi="Arial" w:cs="Arial"/>
        </w:rPr>
      </w:pPr>
      <w:r>
        <w:rPr>
          <w:rFonts w:ascii="Arial" w:hAnsi="Arial"/>
        </w:rPr>
        <w:t>For costs with a sufficient historical data set – a selected statistical measure determining the relationship between the rate of change in cost and the rate of change in an indicator for a selected period;</w:t>
      </w:r>
    </w:p>
    <w:p w14:paraId="240C5B33" w14:textId="77777777" w:rsidR="00737C0B" w:rsidRPr="00B55437" w:rsidRDefault="00737C0B" w:rsidP="00A546E2">
      <w:pPr>
        <w:pStyle w:val="Akapitzlist"/>
        <w:numPr>
          <w:ilvl w:val="2"/>
          <w:numId w:val="12"/>
        </w:numPr>
        <w:spacing w:after="0" w:line="240" w:lineRule="auto"/>
        <w:ind w:left="2268" w:hanging="283"/>
        <w:contextualSpacing w:val="0"/>
        <w:rPr>
          <w:rFonts w:ascii="Arial" w:hAnsi="Arial" w:cs="Arial"/>
        </w:rPr>
      </w:pPr>
      <w:r>
        <w:rPr>
          <w:rFonts w:ascii="Arial" w:hAnsi="Arial"/>
        </w:rPr>
        <w:t xml:space="preserve">For costs related to newly created projects or ones with an unrepresentative cost base – an expert report from a planner. </w:t>
      </w:r>
    </w:p>
    <w:p w14:paraId="5287AA4F" w14:textId="01703628" w:rsidR="00694A15" w:rsidRPr="00B55437" w:rsidRDefault="00694A15" w:rsidP="0062078A">
      <w:pPr>
        <w:pStyle w:val="Legenda"/>
        <w:ind w:left="708" w:firstLine="708"/>
        <w:jc w:val="both"/>
        <w:rPr>
          <w:i w:val="0"/>
          <w:sz w:val="22"/>
          <w:szCs w:val="22"/>
        </w:rPr>
      </w:pPr>
      <w:r w:rsidRPr="00B55437">
        <w:rPr>
          <w:sz w:val="22"/>
          <w:szCs w:val="22"/>
        </w:rPr>
        <w:fldChar w:fldCharType="begin"/>
      </w:r>
      <w:r w:rsidRPr="00B55437">
        <w:rPr>
          <w:sz w:val="22"/>
          <w:szCs w:val="22"/>
        </w:rPr>
        <w:instrText>SEQ Równanie \* ARABIC</w:instrText>
      </w:r>
      <w:r w:rsidRPr="00B55437">
        <w:rPr>
          <w:sz w:val="22"/>
          <w:szCs w:val="22"/>
        </w:rPr>
        <w:fldChar w:fldCharType="separate"/>
      </w:r>
      <w:r w:rsidRPr="00B55437">
        <w:rPr>
          <w:sz w:val="22"/>
          <w:szCs w:val="22"/>
        </w:rPr>
        <w:fldChar w:fldCharType="end"/>
      </w:r>
      <w:r>
        <w:rPr>
          <w:sz w:val="22"/>
        </w:rPr>
        <w:t>Equation: planned costs based on the impact of an indicator (driver)</w:t>
      </w:r>
    </w:p>
    <w:p w14:paraId="399D77B6" w14:textId="5691D43A" w:rsidR="00694A15" w:rsidRPr="00B55437" w:rsidRDefault="00000000" w:rsidP="00694A15">
      <w:pPr>
        <w:spacing w:line="360" w:lineRule="auto"/>
        <w:rPr>
          <w:rFonts w:ascii="Arial" w:hAnsi="Arial" w:cs="Arial"/>
        </w:rPr>
      </w:pPr>
      <m:oMathPara>
        <m:oMath>
          <m:sSub>
            <m:sSubPr>
              <m:ctrlPr>
                <w:rPr>
                  <w:rFonts w:ascii="Cambria Math" w:hAnsi="Cambria Math" w:cs="Arial"/>
                  <w:i/>
                </w:rPr>
              </m:ctrlPr>
            </m:sSubPr>
            <m:e>
              <m:r>
                <w:rPr>
                  <w:rFonts w:ascii="Cambria Math" w:hAnsi="Cambria Math"/>
                </w:rPr>
                <m:t>FC</m:t>
              </m:r>
            </m:e>
            <m:sub>
              <m:r>
                <w:rPr>
                  <w:rFonts w:ascii="Cambria Math" w:hAnsi="Cambria Math"/>
                </w:rPr>
                <m:t>c,m/y</m:t>
              </m:r>
            </m:sub>
          </m:sSub>
          <m:r>
            <w:rPr>
              <w:rFonts w:ascii="Cambria Math" w:hAnsi="Cambria Math"/>
            </w:rPr>
            <m:t>=</m:t>
          </m:r>
          <m:sSub>
            <m:sSubPr>
              <m:ctrlPr>
                <w:rPr>
                  <w:rFonts w:ascii="Cambria Math" w:hAnsi="Cambria Math" w:cs="Arial"/>
                  <w:i/>
                </w:rPr>
              </m:ctrlPr>
            </m:sSubPr>
            <m:e>
              <m:r>
                <w:rPr>
                  <w:rFonts w:ascii="Cambria Math" w:hAnsi="Cambria Math"/>
                </w:rPr>
                <m:t>[FC</m:t>
              </m:r>
            </m:e>
            <m:sub>
              <m:r>
                <w:rPr>
                  <w:rFonts w:ascii="Cambria Math" w:hAnsi="Cambria Math"/>
                </w:rPr>
                <m:t>c,m/y</m:t>
              </m:r>
            </m:sub>
          </m:sSub>
          <m:r>
            <w:rPr>
              <w:rFonts w:ascii="Cambria Math" w:hAnsi="Cambria Math"/>
            </w:rPr>
            <m:t>*</m:t>
          </m:r>
          <m:d>
            <m:dPr>
              <m:ctrlPr>
                <w:rPr>
                  <w:rFonts w:ascii="Cambria Math" w:hAnsi="Cambria Math" w:cs="Arial"/>
                  <w:i/>
                </w:rPr>
              </m:ctrlPr>
            </m:dPr>
            <m:e>
              <m:r>
                <w:rPr>
                  <w:rFonts w:ascii="Cambria Math" w:hAnsi="Cambria Math"/>
                </w:rPr>
                <m:t>1+</m:t>
              </m:r>
              <m:sSub>
                <m:sSubPr>
                  <m:ctrlPr>
                    <w:rPr>
                      <w:rFonts w:ascii="Cambria Math" w:hAnsi="Cambria Math" w:cs="Arial"/>
                      <w:i/>
                    </w:rPr>
                  </m:ctrlPr>
                </m:sSubPr>
                <m:e>
                  <m:r>
                    <w:rPr>
                      <w:rFonts w:ascii="Cambria Math" w:hAnsi="Cambria Math"/>
                    </w:rPr>
                    <m:t>DI.</m:t>
                  </m:r>
                </m:e>
                <m:sub>
                  <m:r>
                    <w:rPr>
                      <w:rFonts w:ascii="Cambria Math" w:hAnsi="Cambria Math"/>
                    </w:rPr>
                    <m:t>c,y</m:t>
                  </m:r>
                </m:sub>
              </m:sSub>
              <m:r>
                <w:rPr>
                  <w:rFonts w:ascii="Cambria Math" w:hAnsi="Cambria Math"/>
                </w:rPr>
                <m:t>*</m:t>
              </m:r>
              <m:sSub>
                <m:sSubPr>
                  <m:ctrlPr>
                    <w:rPr>
                      <w:rFonts w:ascii="Cambria Math" w:hAnsi="Cambria Math" w:cs="Arial"/>
                      <w:i/>
                    </w:rPr>
                  </m:ctrlPr>
                </m:sSubPr>
                <m:e>
                  <m:r>
                    <w:rPr>
                      <w:rFonts w:ascii="Cambria Math" w:hAnsi="Cambria Math"/>
                    </w:rPr>
                    <m:t>%EDI</m:t>
                  </m:r>
                </m:e>
                <m:sub>
                  <m:r>
                    <w:rPr>
                      <w:rFonts w:ascii="Cambria Math" w:hAnsi="Cambria Math"/>
                    </w:rPr>
                    <m:t>c</m:t>
                  </m:r>
                </m:sub>
              </m:sSub>
            </m:e>
          </m:d>
          <m:r>
            <w:rPr>
              <w:rFonts w:ascii="Cambria Math" w:hAnsi="Cambria Math"/>
            </w:rPr>
            <m:t>]*X</m:t>
          </m:r>
        </m:oMath>
      </m:oMathPara>
    </w:p>
    <w:p w14:paraId="690640E1" w14:textId="77777777" w:rsidR="00694A15" w:rsidRPr="00B55437" w:rsidRDefault="00694A15" w:rsidP="00F355B5">
      <w:pPr>
        <w:spacing w:line="240" w:lineRule="auto"/>
        <w:ind w:left="708" w:firstLine="708"/>
        <w:rPr>
          <w:rFonts w:ascii="Arial" w:hAnsi="Arial" w:cs="Arial"/>
        </w:rPr>
      </w:pPr>
      <w:r>
        <w:rPr>
          <w:rFonts w:ascii="Arial" w:hAnsi="Arial"/>
        </w:rPr>
        <w:t>where:</w:t>
      </w:r>
    </w:p>
    <w:p w14:paraId="2FF3E7AF" w14:textId="70E9BC56" w:rsidR="00694A15" w:rsidRPr="00B55437" w:rsidRDefault="00694A15" w:rsidP="00694A15">
      <w:pPr>
        <w:spacing w:after="0" w:line="276" w:lineRule="auto"/>
        <w:rPr>
          <w:rFonts w:ascii="Arial" w:hAnsi="Arial" w:cs="Arial"/>
        </w:rPr>
      </w:pPr>
      <w:r w:rsidRPr="00B55437">
        <w:rPr>
          <w:rFonts w:ascii="Arial" w:hAnsi="Arial"/>
        </w:rPr>
        <w:tab/>
      </w:r>
      <w:r w:rsidR="00774E18" w:rsidRPr="00B55437">
        <w:rPr>
          <w:rFonts w:ascii="Arial" w:hAnsi="Arial"/>
        </w:rPr>
        <w:tab/>
      </w:r>
      <w:proofErr w:type="spellStart"/>
      <w:r>
        <w:rPr>
          <w:rFonts w:ascii="Arial" w:hAnsi="Arial"/>
          <w:b/>
          <w:vertAlign w:val="subscript"/>
        </w:rPr>
        <w:t>FCc,m</w:t>
      </w:r>
      <w:proofErr w:type="spellEnd"/>
      <w:r>
        <w:rPr>
          <w:rFonts w:ascii="Arial" w:hAnsi="Arial"/>
          <w:b/>
          <w:vertAlign w:val="subscript"/>
        </w:rPr>
        <w:t>/y</w:t>
      </w:r>
      <w:r>
        <w:rPr>
          <w:rFonts w:ascii="Arial" w:hAnsi="Arial"/>
          <w:b/>
        </w:rPr>
        <w:t xml:space="preserve"> – </w:t>
      </w:r>
      <w:r w:rsidRPr="00B55437">
        <w:rPr>
          <w:rFonts w:ascii="Arial" w:hAnsi="Arial"/>
        </w:rPr>
        <w:t xml:space="preserve">cost </w:t>
      </w:r>
      <w:r w:rsidRPr="00B55437">
        <w:rPr>
          <w:rFonts w:ascii="Arial" w:hAnsi="Arial"/>
          <w:color w:val="000000" w:themeColor="text1"/>
        </w:rPr>
        <w:t>of cost type (c) per month (m) / year (y)</w:t>
      </w:r>
    </w:p>
    <w:p w14:paraId="3B0BE649" w14:textId="226560CA" w:rsidR="00694A15" w:rsidRPr="00B55437" w:rsidRDefault="00694A15" w:rsidP="00774E18">
      <w:pPr>
        <w:spacing w:after="0" w:line="276" w:lineRule="auto"/>
        <w:ind w:left="1416"/>
        <w:rPr>
          <w:rFonts w:ascii="Arial" w:hAnsi="Arial" w:cs="Arial"/>
          <w:i/>
          <w:iCs/>
          <w:color w:val="808080" w:themeColor="background1" w:themeShade="80"/>
        </w:rPr>
      </w:pPr>
      <w:proofErr w:type="spellStart"/>
      <w:r>
        <w:rPr>
          <w:rFonts w:ascii="Arial" w:hAnsi="Arial"/>
          <w:b/>
          <w:vertAlign w:val="subscript"/>
        </w:rPr>
        <w:t>FCc,m</w:t>
      </w:r>
      <w:proofErr w:type="spellEnd"/>
      <w:r>
        <w:rPr>
          <w:rFonts w:ascii="Arial" w:hAnsi="Arial"/>
          <w:b/>
          <w:vertAlign w:val="subscript"/>
        </w:rPr>
        <w:t>-z/y-z</w:t>
      </w:r>
      <w:r>
        <w:rPr>
          <w:rFonts w:ascii="Arial" w:hAnsi="Arial"/>
          <w:b/>
        </w:rPr>
        <w:t xml:space="preserve"> – </w:t>
      </w:r>
      <w:r w:rsidRPr="00B55437">
        <w:rPr>
          <w:rFonts w:ascii="Arial" w:hAnsi="Arial"/>
        </w:rPr>
        <w:t xml:space="preserve">base cost </w:t>
      </w:r>
      <w:r>
        <w:rPr>
          <w:rFonts w:ascii="Arial" w:hAnsi="Arial"/>
          <w:color w:val="000000" w:themeColor="text1"/>
        </w:rPr>
        <w:t xml:space="preserve">for the cost type (c) in the selected period (month) (year) </w:t>
      </w:r>
      <w:r>
        <w:rPr>
          <w:rFonts w:ascii="Arial" w:hAnsi="Arial"/>
          <w:i/>
          <w:color w:val="808080" w:themeColor="background1" w:themeShade="80"/>
        </w:rPr>
        <w:t>(here, for example, PLN 150,000 – the figure from the previous year)</w:t>
      </w:r>
    </w:p>
    <w:p w14:paraId="528E63D2" w14:textId="508FCAE4" w:rsidR="00694A15" w:rsidRPr="00B55437" w:rsidRDefault="00694A15" w:rsidP="00694A15">
      <w:pPr>
        <w:spacing w:after="0" w:line="276" w:lineRule="auto"/>
        <w:rPr>
          <w:rFonts w:ascii="Arial" w:hAnsi="Arial" w:cs="Arial"/>
          <w:spacing w:val="-4"/>
        </w:rPr>
      </w:pPr>
      <w:r w:rsidRPr="00B55437">
        <w:rPr>
          <w:rFonts w:ascii="Arial" w:hAnsi="Arial"/>
        </w:rPr>
        <w:tab/>
      </w:r>
      <w:r w:rsidR="00196B02" w:rsidRPr="00B55437">
        <w:rPr>
          <w:rFonts w:ascii="Arial" w:hAnsi="Arial"/>
        </w:rPr>
        <w:tab/>
      </w:r>
      <w:proofErr w:type="spellStart"/>
      <w:r w:rsidRPr="00B55437">
        <w:rPr>
          <w:rFonts w:ascii="Arial" w:hAnsi="Arial"/>
          <w:b/>
          <w:bCs/>
          <w:spacing w:val="-4"/>
          <w:vertAlign w:val="subscript"/>
        </w:rPr>
        <w:t>DIc,y</w:t>
      </w:r>
      <w:proofErr w:type="spellEnd"/>
      <w:r>
        <w:rPr>
          <w:rFonts w:ascii="Arial" w:hAnsi="Arial"/>
          <w:spacing w:val="-4"/>
        </w:rPr>
        <w:t xml:space="preserve"> – indicator (driver) for cost type (c) in year (y) </w:t>
      </w:r>
      <w:r>
        <w:rPr>
          <w:rFonts w:ascii="Arial" w:hAnsi="Arial"/>
          <w:i/>
          <w:color w:val="808080" w:themeColor="background1" w:themeShade="80"/>
          <w:spacing w:val="-4"/>
        </w:rPr>
        <w:t>(e.g. CPI PLN)</w:t>
      </w:r>
    </w:p>
    <w:p w14:paraId="4472EF83" w14:textId="42AF9EAA" w:rsidR="00C158C5" w:rsidRPr="00B55437" w:rsidRDefault="00694A15" w:rsidP="00196B02">
      <w:pPr>
        <w:spacing w:after="0" w:line="276" w:lineRule="auto"/>
        <w:ind w:left="1416"/>
        <w:rPr>
          <w:rFonts w:ascii="Arial" w:hAnsi="Arial" w:cs="Arial"/>
        </w:rPr>
      </w:pPr>
      <w:r w:rsidRPr="00B55437">
        <w:rPr>
          <w:rFonts w:ascii="Arial" w:hAnsi="Arial"/>
          <w:b/>
          <w:bCs/>
          <w:vertAlign w:val="subscript"/>
        </w:rPr>
        <w:t xml:space="preserve">%EDIc – conversion factor for the determining index for the cost type (c) </w:t>
      </w:r>
      <w:r>
        <w:rPr>
          <w:rFonts w:ascii="Arial" w:hAnsi="Arial"/>
        </w:rPr>
        <w:t>(e.g. 1.1)</w:t>
      </w:r>
    </w:p>
    <w:p w14:paraId="5F8D2261" w14:textId="0CAF844B" w:rsidR="00694A15" w:rsidRPr="00B55437" w:rsidRDefault="00694A15" w:rsidP="00196B02">
      <w:pPr>
        <w:spacing w:after="0" w:line="276" w:lineRule="auto"/>
        <w:ind w:left="708" w:firstLine="708"/>
        <w:rPr>
          <w:rFonts w:ascii="Arial" w:hAnsi="Arial" w:cs="Arial"/>
          <w:i/>
          <w:iCs/>
        </w:rPr>
      </w:pPr>
      <w:r>
        <w:rPr>
          <w:rFonts w:ascii="Arial" w:hAnsi="Arial"/>
          <w:b/>
          <w:i/>
        </w:rPr>
        <w:t xml:space="preserve">X </w:t>
      </w:r>
      <w:r w:rsidRPr="00B55437">
        <w:rPr>
          <w:rFonts w:ascii="Arial" w:hAnsi="Arial"/>
          <w:i/>
          <w:iCs/>
        </w:rPr>
        <w:t>– percentage indicator for the purposes of sensitivity analysis</w:t>
      </w:r>
    </w:p>
    <w:p w14:paraId="1B020EA2" w14:textId="3619BBA6" w:rsidR="00694A15" w:rsidRPr="00B55437" w:rsidRDefault="00694A15" w:rsidP="00A546E2">
      <w:pPr>
        <w:pStyle w:val="Akapitzlist"/>
        <w:numPr>
          <w:ilvl w:val="1"/>
          <w:numId w:val="10"/>
        </w:numPr>
        <w:spacing w:before="120" w:after="0" w:line="360" w:lineRule="auto"/>
        <w:rPr>
          <w:rFonts w:ascii="Arial" w:hAnsi="Arial" w:cs="Arial"/>
          <w:b/>
        </w:rPr>
      </w:pPr>
      <w:r>
        <w:rPr>
          <w:rFonts w:ascii="Arial" w:hAnsi="Arial"/>
          <w:b/>
        </w:rPr>
        <w:t>Activity-Based Budgeting (ABB) – in companies outside of Segment A</w:t>
      </w:r>
    </w:p>
    <w:p w14:paraId="38F81918" w14:textId="77777777" w:rsidR="00694A15" w:rsidRPr="00B55437" w:rsidRDefault="00694A15" w:rsidP="0062078A">
      <w:pPr>
        <w:spacing w:after="120" w:line="240" w:lineRule="auto"/>
        <w:ind w:left="1276"/>
        <w:rPr>
          <w:rFonts w:ascii="Arial" w:hAnsi="Arial" w:cs="Arial"/>
        </w:rPr>
      </w:pPr>
      <w:r>
        <w:rPr>
          <w:rFonts w:ascii="Arial" w:hAnsi="Arial"/>
        </w:rPr>
        <w:t>Costs for which it is possible to identify volume drivers are planned using the activity-based costing method. The Planner, based on:</w:t>
      </w:r>
    </w:p>
    <w:p w14:paraId="20E7890F" w14:textId="0CF6086E" w:rsidR="00694A15" w:rsidRPr="00B55437" w:rsidRDefault="00694A15" w:rsidP="00A546E2">
      <w:pPr>
        <w:pStyle w:val="Akapitzlist"/>
        <w:numPr>
          <w:ilvl w:val="0"/>
          <w:numId w:val="12"/>
        </w:numPr>
        <w:spacing w:after="240" w:line="240" w:lineRule="auto"/>
        <w:ind w:left="1843" w:hanging="567"/>
        <w:rPr>
          <w:rFonts w:ascii="Arial" w:hAnsi="Arial" w:cs="Arial"/>
        </w:rPr>
      </w:pPr>
      <w:r>
        <w:rPr>
          <w:rFonts w:ascii="Arial" w:hAnsi="Arial"/>
        </w:rPr>
        <w:t xml:space="preserve">forecasts of the volume of a cost driver (e.g. number of invoices, hours, applications, training sessions, business trips, FTEs, utility consumption, number of catalytic converter regenerations, boiler cleanings, floor area) </w:t>
      </w:r>
      <w:r>
        <w:rPr>
          <w:rFonts w:ascii="Arial" w:hAnsi="Arial"/>
          <w:color w:val="808080" w:themeColor="background1" w:themeShade="80"/>
        </w:rPr>
        <w:t>– here, the quantity ‘</w:t>
      </w:r>
      <w:proofErr w:type="spellStart"/>
      <w:r>
        <w:rPr>
          <w:rFonts w:ascii="Arial" w:hAnsi="Arial"/>
          <w:color w:val="808080" w:themeColor="background1" w:themeShade="80"/>
        </w:rPr>
        <w:t>fra</w:t>
      </w:r>
      <w:proofErr w:type="spellEnd"/>
      <w:r>
        <w:rPr>
          <w:rFonts w:ascii="Arial" w:hAnsi="Arial"/>
          <w:color w:val="808080" w:themeColor="background1" w:themeShade="80"/>
        </w:rPr>
        <w:t>’</w:t>
      </w:r>
      <w:r>
        <w:rPr>
          <w:rFonts w:ascii="Arial" w:hAnsi="Arial"/>
        </w:rPr>
        <w:t>;</w:t>
      </w:r>
    </w:p>
    <w:p w14:paraId="6D81C808" w14:textId="47EEBF8F" w:rsidR="00694A15" w:rsidRPr="00B55437" w:rsidRDefault="00694A15" w:rsidP="00A546E2">
      <w:pPr>
        <w:pStyle w:val="Akapitzlist"/>
        <w:numPr>
          <w:ilvl w:val="0"/>
          <w:numId w:val="12"/>
        </w:numPr>
        <w:spacing w:after="240" w:line="240" w:lineRule="auto"/>
        <w:ind w:left="1843" w:hanging="567"/>
        <w:rPr>
          <w:rFonts w:ascii="Arial" w:hAnsi="Arial" w:cs="Arial"/>
          <w:i/>
          <w:iCs/>
          <w:color w:val="808080" w:themeColor="background1" w:themeShade="80"/>
        </w:rPr>
      </w:pPr>
      <w:r>
        <w:rPr>
          <w:rFonts w:ascii="Arial" w:hAnsi="Arial"/>
        </w:rPr>
        <w:t xml:space="preserve">the average unit cost for the year preceding the </w:t>
      </w:r>
      <w:r>
        <w:rPr>
          <w:rFonts w:ascii="Arial" w:hAnsi="Arial"/>
          <w:i/>
          <w:color w:val="808080" w:themeColor="background1" w:themeShade="80"/>
        </w:rPr>
        <w:t>planned</w:t>
      </w:r>
      <w:r>
        <w:rPr>
          <w:rFonts w:ascii="Arial" w:hAnsi="Arial"/>
        </w:rPr>
        <w:t xml:space="preserve"> year </w:t>
      </w:r>
      <w:r>
        <w:rPr>
          <w:rFonts w:ascii="Arial" w:hAnsi="Arial"/>
          <w:i/>
          <w:color w:val="808080" w:themeColor="background1" w:themeShade="80"/>
        </w:rPr>
        <w:t>(here, for example, xxx PLN per invoice);</w:t>
      </w:r>
    </w:p>
    <w:p w14:paraId="26E3D4F7" w14:textId="29BB1568" w:rsidR="00694A15" w:rsidRPr="00B55437" w:rsidRDefault="00694A15" w:rsidP="00A546E2">
      <w:pPr>
        <w:pStyle w:val="Akapitzlist"/>
        <w:numPr>
          <w:ilvl w:val="0"/>
          <w:numId w:val="12"/>
        </w:numPr>
        <w:spacing w:after="240" w:line="240" w:lineRule="auto"/>
        <w:ind w:left="1843" w:hanging="567"/>
        <w:rPr>
          <w:rFonts w:ascii="Arial" w:hAnsi="Arial" w:cs="Arial"/>
        </w:rPr>
      </w:pPr>
      <w:r>
        <w:rPr>
          <w:rFonts w:ascii="Arial" w:hAnsi="Arial"/>
        </w:rPr>
        <w:t xml:space="preserve">an indicator determining the increase in the cost rate over the years </w:t>
      </w:r>
      <w:r w:rsidR="00E87B46" w:rsidRPr="00B55437">
        <w:rPr>
          <w:rFonts w:ascii="Arial" w:hAnsi="Arial"/>
          <w:color w:val="808080" w:themeColor="background1" w:themeShade="80"/>
        </w:rPr>
        <w:t>(e.g. the CPI)</w:t>
      </w:r>
      <w:r>
        <w:rPr>
          <w:rFonts w:ascii="Arial" w:hAnsi="Arial"/>
        </w:rPr>
        <w:t>;</w:t>
      </w:r>
    </w:p>
    <w:p w14:paraId="0D6DDD87" w14:textId="77777777" w:rsidR="00694A15" w:rsidRPr="00B55437" w:rsidRDefault="00694A15" w:rsidP="00AC7E23">
      <w:pPr>
        <w:spacing w:line="240" w:lineRule="auto"/>
        <w:ind w:left="928" w:firstLine="348"/>
        <w:rPr>
          <w:rFonts w:ascii="Arial" w:hAnsi="Arial" w:cs="Arial"/>
        </w:rPr>
      </w:pPr>
      <w:r>
        <w:rPr>
          <w:rFonts w:ascii="Arial" w:hAnsi="Arial"/>
        </w:rPr>
        <w:t>prepares a breakdown of selected cost items, based on the formula.</w:t>
      </w:r>
    </w:p>
    <w:p w14:paraId="4AD836B2" w14:textId="48DA4BF6" w:rsidR="00694A15" w:rsidRPr="00B55437" w:rsidRDefault="00694A15" w:rsidP="00AC7E23">
      <w:pPr>
        <w:pStyle w:val="Legenda"/>
        <w:spacing w:before="0" w:line="240" w:lineRule="auto"/>
        <w:ind w:left="708" w:firstLine="708"/>
        <w:jc w:val="both"/>
        <w:rPr>
          <w:sz w:val="22"/>
          <w:szCs w:val="22"/>
        </w:rPr>
      </w:pPr>
      <w:r w:rsidRPr="00B55437">
        <w:rPr>
          <w:sz w:val="22"/>
          <w:szCs w:val="22"/>
        </w:rPr>
        <w:fldChar w:fldCharType="begin"/>
      </w:r>
      <w:r w:rsidRPr="00B55437">
        <w:rPr>
          <w:sz w:val="22"/>
          <w:szCs w:val="22"/>
        </w:rPr>
        <w:instrText>SEQ Równanie \* ARABIC</w:instrText>
      </w:r>
      <w:r w:rsidRPr="00B55437">
        <w:rPr>
          <w:sz w:val="22"/>
          <w:szCs w:val="22"/>
        </w:rPr>
        <w:fldChar w:fldCharType="separate"/>
      </w:r>
      <w:r w:rsidRPr="00B55437">
        <w:rPr>
          <w:sz w:val="22"/>
          <w:szCs w:val="22"/>
        </w:rPr>
        <w:fldChar w:fldCharType="end"/>
      </w:r>
      <w:r>
        <w:rPr>
          <w:sz w:val="22"/>
        </w:rPr>
        <w:t xml:space="preserve"> equation: fixed costs planned using the Activity-Based Budgeting method</w:t>
      </w:r>
    </w:p>
    <w:p w14:paraId="63B71C69" w14:textId="77777777" w:rsidR="00694A15" w:rsidRPr="00B55437" w:rsidRDefault="00000000" w:rsidP="00AC7E23">
      <w:pPr>
        <w:spacing w:line="240" w:lineRule="auto"/>
        <w:ind w:firstLine="708"/>
        <w:rPr>
          <w:rFonts w:ascii="Arial" w:hAnsi="Arial" w:cs="Arial"/>
        </w:rPr>
      </w:pPr>
      <m:oMathPara>
        <m:oMathParaPr>
          <m:jc m:val="center"/>
        </m:oMathParaPr>
        <m:oMath>
          <m:sSub>
            <m:sSubPr>
              <m:ctrlPr>
                <w:rPr>
                  <w:rFonts w:ascii="Cambria Math" w:hAnsi="Cambria Math" w:cs="Arial"/>
                  <w:i/>
                </w:rPr>
              </m:ctrlPr>
            </m:sSubPr>
            <m:e>
              <m:r>
                <w:rPr>
                  <w:rFonts w:ascii="Cambria Math" w:hAnsi="Cambria Math"/>
                </w:rPr>
                <m:t>FC</m:t>
              </m:r>
            </m:e>
            <m:sub>
              <m:r>
                <w:rPr>
                  <w:rFonts w:ascii="Cambria Math" w:hAnsi="Cambria Math"/>
                </w:rPr>
                <m:t>c,m/y</m:t>
              </m:r>
            </m:sub>
          </m:sSub>
          <m:r>
            <w:rPr>
              <w:rFonts w:ascii="Cambria Math" w:hAnsi="Cambria Math"/>
            </w:rPr>
            <m:t>=</m:t>
          </m:r>
          <m:sSub>
            <m:sSubPr>
              <m:ctrlPr>
                <w:rPr>
                  <w:rFonts w:ascii="Cambria Math" w:hAnsi="Cambria Math" w:cs="Arial"/>
                  <w:i/>
                </w:rPr>
              </m:ctrlPr>
            </m:sSubPr>
            <m:e>
              <m:r>
                <w:rPr>
                  <w:rFonts w:ascii="Cambria Math" w:hAnsi="Cambria Math"/>
                </w:rPr>
                <m:t>[(FCC</m:t>
              </m:r>
            </m:e>
            <m:sub>
              <m:r>
                <w:rPr>
                  <w:rFonts w:ascii="Cambria Math" w:hAnsi="Cambria Math"/>
                </w:rPr>
                <m:t>c,m/y</m:t>
              </m:r>
            </m:sub>
          </m:sSub>
          <m:r>
            <w:rPr>
              <w:rFonts w:ascii="Cambria Math" w:hAnsi="Cambria Math"/>
            </w:rPr>
            <m:t>*</m:t>
          </m:r>
          <m:sSub>
            <m:sSubPr>
              <m:ctrlPr>
                <w:rPr>
                  <w:rFonts w:ascii="Cambria Math" w:hAnsi="Cambria Math" w:cs="Arial"/>
                  <w:i/>
                </w:rPr>
              </m:ctrlPr>
            </m:sSubPr>
            <m:e>
              <m:r>
                <w:rPr>
                  <w:rFonts w:ascii="Cambria Math" w:hAnsi="Cambria Math"/>
                </w:rPr>
                <m:t>%FCC</m:t>
              </m:r>
            </m:e>
            <m:sub>
              <m:r>
                <w:rPr>
                  <w:rFonts w:ascii="Cambria Math" w:hAnsi="Cambria Math"/>
                </w:rPr>
                <m:t>c,y</m:t>
              </m:r>
            </m:sub>
          </m:sSub>
          <m:r>
            <w:rPr>
              <w:rFonts w:ascii="Cambria Math" w:hAnsi="Cambria Math"/>
            </w:rPr>
            <m:t>)*</m:t>
          </m:r>
          <m:sSub>
            <m:sSubPr>
              <m:ctrlPr>
                <w:rPr>
                  <w:rFonts w:ascii="Cambria Math" w:hAnsi="Cambria Math" w:cs="Arial"/>
                  <w:i/>
                </w:rPr>
              </m:ctrlPr>
            </m:sSubPr>
            <m:e>
              <m:r>
                <w:rPr>
                  <w:rFonts w:ascii="Cambria Math" w:hAnsi="Cambria Math"/>
                </w:rPr>
                <m:t>(AUC</m:t>
              </m:r>
            </m:e>
            <m:sub>
              <m:r>
                <w:rPr>
                  <w:rFonts w:ascii="Cambria Math" w:hAnsi="Cambria Math"/>
                </w:rPr>
                <m:t>c,m/y</m:t>
              </m:r>
            </m:sub>
          </m:sSub>
          <m:r>
            <w:rPr>
              <w:rFonts w:ascii="Cambria Math" w:hAnsi="Cambria Math"/>
            </w:rPr>
            <m:t xml:space="preserve">*(1+ </m:t>
          </m:r>
          <m:sSub>
            <m:sSubPr>
              <m:ctrlPr>
                <w:rPr>
                  <w:rFonts w:ascii="Cambria Math" w:hAnsi="Cambria Math" w:cs="Arial"/>
                  <w:i/>
                </w:rPr>
              </m:ctrlPr>
            </m:sSubPr>
            <m:e>
              <m:r>
                <w:rPr>
                  <w:rFonts w:ascii="Cambria Math" w:hAnsi="Cambria Math"/>
                </w:rPr>
                <m:t>DI.</m:t>
              </m:r>
            </m:e>
            <m:sub>
              <m:r>
                <w:rPr>
                  <w:rFonts w:ascii="Cambria Math" w:hAnsi="Cambria Math"/>
                </w:rPr>
                <m:t>c,y</m:t>
              </m:r>
            </m:sub>
          </m:sSub>
          <m:r>
            <w:rPr>
              <w:rFonts w:ascii="Cambria Math" w:hAnsi="Cambria Math"/>
            </w:rPr>
            <m:t>*</m:t>
          </m:r>
          <m:sSub>
            <m:sSubPr>
              <m:ctrlPr>
                <w:rPr>
                  <w:rFonts w:ascii="Cambria Math" w:hAnsi="Cambria Math" w:cs="Arial"/>
                  <w:i/>
                </w:rPr>
              </m:ctrlPr>
            </m:sSubPr>
            <m:e>
              <m:r>
                <w:rPr>
                  <w:rFonts w:ascii="Cambria Math" w:hAnsi="Cambria Math"/>
                </w:rPr>
                <m:t>EDI</m:t>
              </m:r>
            </m:e>
            <m:sub>
              <m:r>
                <w:rPr>
                  <w:rFonts w:ascii="Cambria Math" w:hAnsi="Cambria Math"/>
                </w:rPr>
                <m:t>c</m:t>
              </m:r>
            </m:sub>
          </m:sSub>
          <m:r>
            <w:rPr>
              <w:rFonts w:ascii="Cambria Math" w:hAnsi="Cambria Math"/>
            </w:rPr>
            <m:t>))]*X</m:t>
          </m:r>
        </m:oMath>
      </m:oMathPara>
    </w:p>
    <w:p w14:paraId="02C9C882" w14:textId="77777777" w:rsidR="00694A15" w:rsidRPr="00B55437" w:rsidRDefault="00694A15" w:rsidP="00317F52">
      <w:pPr>
        <w:spacing w:line="240" w:lineRule="auto"/>
        <w:ind w:left="708" w:firstLine="708"/>
        <w:rPr>
          <w:rFonts w:ascii="Arial" w:hAnsi="Arial" w:cs="Arial"/>
        </w:rPr>
      </w:pPr>
      <w:r>
        <w:rPr>
          <w:rFonts w:ascii="Arial" w:hAnsi="Arial"/>
        </w:rPr>
        <w:t>where:</w:t>
      </w:r>
    </w:p>
    <w:p w14:paraId="121DC6F8" w14:textId="77777777" w:rsidR="00694A15" w:rsidRPr="00B55437" w:rsidRDefault="00694A15" w:rsidP="00B97C89">
      <w:pPr>
        <w:spacing w:after="0" w:line="240" w:lineRule="auto"/>
        <w:ind w:left="708" w:firstLine="708"/>
        <w:rPr>
          <w:rFonts w:ascii="Arial" w:hAnsi="Arial" w:cs="Arial"/>
          <w:spacing w:val="-4"/>
        </w:rPr>
      </w:pPr>
      <w:proofErr w:type="spellStart"/>
      <w:r>
        <w:rPr>
          <w:rFonts w:ascii="Arial" w:hAnsi="Arial"/>
          <w:b/>
          <w:spacing w:val="-4"/>
        </w:rPr>
        <w:t>FCc</w:t>
      </w:r>
      <w:r>
        <w:rPr>
          <w:rFonts w:ascii="Arial" w:hAnsi="Arial"/>
          <w:b/>
          <w:spacing w:val="-4"/>
          <w:vertAlign w:val="subscript"/>
        </w:rPr>
        <w:t>,m</w:t>
      </w:r>
      <w:proofErr w:type="spellEnd"/>
      <w:r>
        <w:rPr>
          <w:rFonts w:ascii="Arial" w:hAnsi="Arial"/>
          <w:b/>
          <w:spacing w:val="-4"/>
          <w:vertAlign w:val="subscript"/>
        </w:rPr>
        <w:t>/y</w:t>
      </w:r>
      <w:r>
        <w:rPr>
          <w:rFonts w:ascii="Arial" w:hAnsi="Arial"/>
          <w:b/>
          <w:spacing w:val="-4"/>
        </w:rPr>
        <w:t xml:space="preserve"> – </w:t>
      </w:r>
      <w:r w:rsidRPr="00B55437">
        <w:rPr>
          <w:rFonts w:ascii="Arial" w:hAnsi="Arial"/>
          <w:spacing w:val="-4"/>
        </w:rPr>
        <w:t>constant cost of cost type (c) per month (m) / year (y)</w:t>
      </w:r>
    </w:p>
    <w:p w14:paraId="4148B856" w14:textId="77777777" w:rsidR="00A9632A" w:rsidRPr="00B55437" w:rsidRDefault="00694A15" w:rsidP="00B97C89">
      <w:pPr>
        <w:spacing w:after="0" w:line="240" w:lineRule="auto"/>
        <w:ind w:left="1413" w:firstLine="3"/>
        <w:rPr>
          <w:rFonts w:ascii="Arial" w:hAnsi="Arial" w:cs="Arial"/>
          <w:spacing w:val="-4"/>
        </w:rPr>
      </w:pPr>
      <w:proofErr w:type="spellStart"/>
      <w:r>
        <w:rPr>
          <w:rFonts w:ascii="Arial" w:hAnsi="Arial"/>
          <w:b/>
          <w:spacing w:val="-4"/>
        </w:rPr>
        <w:lastRenderedPageBreak/>
        <w:t>FCCc</w:t>
      </w:r>
      <w:r>
        <w:rPr>
          <w:rFonts w:ascii="Arial" w:hAnsi="Arial"/>
          <w:b/>
          <w:spacing w:val="-4"/>
          <w:vertAlign w:val="subscript"/>
        </w:rPr>
        <w:t>,m</w:t>
      </w:r>
      <w:proofErr w:type="spellEnd"/>
      <w:r>
        <w:rPr>
          <w:rFonts w:ascii="Arial" w:hAnsi="Arial"/>
          <w:b/>
          <w:spacing w:val="-4"/>
          <w:vertAlign w:val="subscript"/>
        </w:rPr>
        <w:t>/y</w:t>
      </w:r>
      <w:r>
        <w:rPr>
          <w:rFonts w:ascii="Arial" w:hAnsi="Arial"/>
          <w:b/>
          <w:spacing w:val="-4"/>
        </w:rPr>
        <w:t xml:space="preserve"> – cost driver </w:t>
      </w:r>
      <w:r>
        <w:rPr>
          <w:rFonts w:ascii="Arial" w:hAnsi="Arial"/>
          <w:spacing w:val="-4"/>
        </w:rPr>
        <w:t>volume for cost type (c) in month (m) / year (y)</w:t>
      </w:r>
      <w:r>
        <w:rPr>
          <w:rFonts w:ascii="Arial" w:hAnsi="Arial"/>
          <w:b/>
          <w:spacing w:val="-4"/>
        </w:rPr>
        <w:t xml:space="preserve">  </w:t>
      </w:r>
    </w:p>
    <w:p w14:paraId="554E3E2A" w14:textId="77777777" w:rsidR="00694A15" w:rsidRPr="00B55437" w:rsidRDefault="00694A15" w:rsidP="00B97C89">
      <w:pPr>
        <w:spacing w:after="0" w:line="240" w:lineRule="auto"/>
        <w:ind w:left="1416"/>
        <w:rPr>
          <w:rFonts w:ascii="Arial" w:hAnsi="Arial" w:cs="Arial"/>
          <w:spacing w:val="-4"/>
        </w:rPr>
      </w:pPr>
      <w:r w:rsidRPr="00B55437">
        <w:rPr>
          <w:rFonts w:ascii="Arial" w:hAnsi="Arial"/>
          <w:spacing w:val="-4"/>
          <w:vertAlign w:val="subscript"/>
        </w:rPr>
        <w:t>%</w:t>
      </w:r>
      <w:proofErr w:type="spellStart"/>
      <w:r w:rsidRPr="00B55437">
        <w:rPr>
          <w:rFonts w:ascii="Arial" w:hAnsi="Arial"/>
          <w:spacing w:val="-4"/>
          <w:vertAlign w:val="subscript"/>
        </w:rPr>
        <w:t>FCCc,y</w:t>
      </w:r>
      <w:proofErr w:type="spellEnd"/>
      <w:r>
        <w:rPr>
          <w:rFonts w:ascii="Arial" w:hAnsi="Arial"/>
          <w:spacing w:val="-4"/>
        </w:rPr>
        <w:t xml:space="preserve"> – ratio of the carrier to the cost for cost type (c) in year (y)</w:t>
      </w:r>
    </w:p>
    <w:p w14:paraId="3FD4C57E" w14:textId="77777777" w:rsidR="00A9632A" w:rsidRPr="00B55437" w:rsidRDefault="00694A15" w:rsidP="00B97C89">
      <w:pPr>
        <w:spacing w:after="0" w:line="240" w:lineRule="auto"/>
        <w:ind w:left="708" w:firstLine="708"/>
        <w:rPr>
          <w:rFonts w:ascii="Arial" w:hAnsi="Arial" w:cs="Arial"/>
          <w:spacing w:val="-4"/>
        </w:rPr>
      </w:pPr>
      <w:proofErr w:type="spellStart"/>
      <w:r>
        <w:rPr>
          <w:rFonts w:ascii="Arial" w:hAnsi="Arial"/>
          <w:spacing w:val="-4"/>
        </w:rPr>
        <w:t>AUCc</w:t>
      </w:r>
      <w:r>
        <w:rPr>
          <w:rFonts w:ascii="Arial" w:hAnsi="Arial"/>
          <w:spacing w:val="-4"/>
          <w:vertAlign w:val="subscript"/>
        </w:rPr>
        <w:t>,m</w:t>
      </w:r>
      <w:proofErr w:type="spellEnd"/>
      <w:r>
        <w:rPr>
          <w:rFonts w:ascii="Arial" w:hAnsi="Arial"/>
          <w:spacing w:val="-4"/>
          <w:vertAlign w:val="subscript"/>
        </w:rPr>
        <w:t>/y</w:t>
      </w:r>
      <w:r>
        <w:rPr>
          <w:rFonts w:ascii="Arial" w:hAnsi="Arial"/>
          <w:spacing w:val="-4"/>
        </w:rPr>
        <w:t xml:space="preserve"> – average unit cost for cost type (c) per month (m) / year (y) </w:t>
      </w:r>
    </w:p>
    <w:p w14:paraId="4B135498" w14:textId="08D197BD" w:rsidR="00694A15" w:rsidRPr="00B55437" w:rsidRDefault="00A9632A" w:rsidP="00B97C89">
      <w:pPr>
        <w:spacing w:after="0" w:line="240" w:lineRule="auto"/>
        <w:ind w:left="1416"/>
        <w:rPr>
          <w:rFonts w:ascii="Arial" w:hAnsi="Arial" w:cs="Arial"/>
          <w:spacing w:val="-4"/>
        </w:rPr>
      </w:pPr>
      <w:r>
        <w:rPr>
          <w:rFonts w:ascii="Arial" w:hAnsi="Arial"/>
          <w:spacing w:val="-4"/>
        </w:rPr>
        <w:t xml:space="preserve"> </w:t>
      </w:r>
      <w:proofErr w:type="spellStart"/>
      <w:r>
        <w:rPr>
          <w:rFonts w:ascii="Arial" w:hAnsi="Arial"/>
          <w:spacing w:val="-4"/>
        </w:rPr>
        <w:t>DIc</w:t>
      </w:r>
      <w:r w:rsidR="00694A15" w:rsidRPr="00B55437">
        <w:rPr>
          <w:rFonts w:ascii="Arial" w:hAnsi="Arial"/>
          <w:spacing w:val="-4"/>
          <w:vertAlign w:val="subscript"/>
        </w:rPr>
        <w:t>,y</w:t>
      </w:r>
      <w:proofErr w:type="spellEnd"/>
      <w:r>
        <w:rPr>
          <w:rFonts w:ascii="Arial" w:hAnsi="Arial"/>
          <w:spacing w:val="-4"/>
        </w:rPr>
        <w:t xml:space="preserve"> – Indicator for cost type (c) in year (y) </w:t>
      </w:r>
    </w:p>
    <w:p w14:paraId="3FA1358B" w14:textId="6BB6DD76" w:rsidR="00694A15" w:rsidRPr="00B55437" w:rsidRDefault="00694A15" w:rsidP="00B97C89">
      <w:pPr>
        <w:spacing w:after="0" w:line="240" w:lineRule="auto"/>
        <w:ind w:left="1416"/>
        <w:rPr>
          <w:rFonts w:ascii="Arial" w:hAnsi="Arial" w:cs="Arial"/>
          <w:spacing w:val="-4"/>
        </w:rPr>
      </w:pPr>
      <w:r>
        <w:rPr>
          <w:rFonts w:ascii="Arial" w:hAnsi="Arial"/>
          <w:spacing w:val="-4"/>
        </w:rPr>
        <w:t>%</w:t>
      </w:r>
      <w:r w:rsidRPr="00B55437">
        <w:rPr>
          <w:rFonts w:ascii="Arial" w:hAnsi="Arial"/>
          <w:spacing w:val="-4"/>
          <w:vertAlign w:val="subscript"/>
        </w:rPr>
        <w:t xml:space="preserve">EDIc </w:t>
      </w:r>
      <w:r>
        <w:rPr>
          <w:rFonts w:ascii="Arial" w:hAnsi="Arial"/>
          <w:spacing w:val="-4"/>
        </w:rPr>
        <w:t xml:space="preserve">– conversion factor for the determining indicator for the cost category (c)   </w:t>
      </w:r>
    </w:p>
    <w:p w14:paraId="268FE5AC" w14:textId="77777777" w:rsidR="00694A15" w:rsidRPr="00B55437" w:rsidRDefault="00694A15" w:rsidP="00B97C89">
      <w:pPr>
        <w:spacing w:line="240" w:lineRule="auto"/>
        <w:ind w:left="708" w:firstLine="708"/>
        <w:rPr>
          <w:rFonts w:ascii="Arial" w:hAnsi="Arial" w:cs="Arial"/>
          <w:i/>
          <w:iCs/>
        </w:rPr>
      </w:pPr>
      <w:r>
        <w:rPr>
          <w:rFonts w:ascii="Arial" w:hAnsi="Arial"/>
          <w:i/>
        </w:rPr>
        <w:t>X – the plan’s flexibility coefficient for the purposes of sensitivity analysis</w:t>
      </w:r>
    </w:p>
    <w:p w14:paraId="560D1B5C" w14:textId="4ECEC386" w:rsidR="00935C4A" w:rsidRPr="00B55437" w:rsidRDefault="00935C4A" w:rsidP="00F57AED">
      <w:pPr>
        <w:pStyle w:val="Akapitzlist"/>
        <w:numPr>
          <w:ilvl w:val="0"/>
          <w:numId w:val="6"/>
        </w:numPr>
        <w:spacing w:after="120"/>
        <w:ind w:left="714" w:hanging="357"/>
        <w:contextualSpacing w:val="0"/>
        <w:rPr>
          <w:rFonts w:ascii="Arial" w:hAnsi="Arial" w:cs="Arial"/>
        </w:rPr>
      </w:pPr>
      <w:r>
        <w:rPr>
          <w:rFonts w:ascii="Arial" w:hAnsi="Arial"/>
          <w:b/>
        </w:rPr>
        <w:t>The "office supplies" cost</w:t>
      </w:r>
      <w:r>
        <w:rPr>
          <w:rFonts w:ascii="Arial" w:hAnsi="Arial"/>
        </w:rPr>
        <w:t xml:space="preserve"> item may be calculated as required, provided that the company can view, on an ongoing basis – i.e. during the planning process – the </w:t>
      </w:r>
      <w:proofErr w:type="spellStart"/>
      <w:r>
        <w:rPr>
          <w:rFonts w:ascii="Arial" w:hAnsi="Arial"/>
        </w:rPr>
        <w:t>KPI</w:t>
      </w:r>
      <w:proofErr w:type="spellEnd"/>
      <w:r>
        <w:rPr>
          <w:rFonts w:ascii="Arial" w:hAnsi="Arial"/>
        </w:rPr>
        <w:t xml:space="preserve"> level planned for a specific stage of the process within the company (max. PLN 250/FTE per year) and, should this amount be exceeded in a plan that has already been approved, the cost controller at the subsidiary is to automatically receive an instruction to include, prior to budget approval, a comment with a justification, which is to be sent directly to the subsidiary’s supervisor at ORLEN S.A., with an "accept/reject" option for plan adjustments.</w:t>
      </w:r>
    </w:p>
    <w:p w14:paraId="1D722B71" w14:textId="490F2FEB" w:rsidR="00153A2F" w:rsidRPr="00B55437" w:rsidRDefault="007304CB" w:rsidP="00F57AED">
      <w:pPr>
        <w:pStyle w:val="Akapitzlist"/>
        <w:numPr>
          <w:ilvl w:val="0"/>
          <w:numId w:val="6"/>
        </w:numPr>
        <w:spacing w:after="120"/>
        <w:ind w:left="714" w:hanging="357"/>
        <w:contextualSpacing w:val="0"/>
        <w:rPr>
          <w:rFonts w:ascii="Arial" w:hAnsi="Arial" w:cs="Arial"/>
        </w:rPr>
      </w:pPr>
      <w:r>
        <w:rPr>
          <w:rFonts w:ascii="Arial" w:hAnsi="Arial"/>
          <w:b/>
        </w:rPr>
        <w:t>The costs of replacing tyres on vehicles at</w:t>
      </w:r>
      <w:r>
        <w:rPr>
          <w:rFonts w:ascii="Arial" w:hAnsi="Arial"/>
        </w:rPr>
        <w:t xml:space="preserve"> are to be planned entirely centrally by the parent company, at a rate of PLN 800 per vehicle per year. These costs are to be included in the companies’ budgets twice a year (in April and October, at PLN 400 each, payable the following month).</w:t>
      </w:r>
    </w:p>
    <w:p w14:paraId="3BFFA91D" w14:textId="66AE3092" w:rsidR="00715A92" w:rsidRPr="00B55437" w:rsidRDefault="005F7817" w:rsidP="00F57AED">
      <w:pPr>
        <w:pStyle w:val="Akapitzlist"/>
        <w:numPr>
          <w:ilvl w:val="0"/>
          <w:numId w:val="6"/>
        </w:numPr>
        <w:spacing w:after="120"/>
        <w:ind w:left="714" w:hanging="357"/>
        <w:contextualSpacing w:val="0"/>
        <w:rPr>
          <w:rFonts w:ascii="Arial" w:hAnsi="Arial" w:cs="Arial"/>
        </w:rPr>
      </w:pPr>
      <w:r>
        <w:rPr>
          <w:rFonts w:ascii="Arial" w:hAnsi="Arial"/>
        </w:rPr>
        <w:t xml:space="preserve">At the planning stage, the company sets out </w:t>
      </w:r>
      <w:r>
        <w:rPr>
          <w:rFonts w:ascii="Arial" w:hAnsi="Arial"/>
          <w:b/>
        </w:rPr>
        <w:t>its target</w:t>
      </w:r>
      <w:r>
        <w:rPr>
          <w:rFonts w:ascii="Arial" w:hAnsi="Arial"/>
        </w:rPr>
        <w:t xml:space="preserve"> EBITDA levels, the average length of its receivables and payables collection cycles, and the amount of development CAPEX, together with a list of investments that need to be initiated during a specific period. Before submitting the plan to the parent company, the company’s CFO is to receive information on the progress made towards the above-mentioned targets in the form of a dashboard, with a designated space for commenting on any deviations before the plan is submitted to the parent company. </w:t>
      </w:r>
    </w:p>
    <w:p w14:paraId="3C8A5EB0" w14:textId="77777777" w:rsidR="00335A6A" w:rsidRPr="00B55437" w:rsidRDefault="00335A6A">
      <w:pPr>
        <w:jc w:val="left"/>
        <w:rPr>
          <w:rFonts w:ascii="Arial" w:eastAsiaTheme="majorEastAsia" w:hAnsi="Arial" w:cs="Arial"/>
          <w:b/>
          <w:bCs/>
        </w:rPr>
      </w:pPr>
      <w:r w:rsidRPr="00B55437">
        <w:rPr>
          <w:rFonts w:ascii="Arial" w:hAnsi="Arial"/>
          <w:b/>
          <w:bCs/>
        </w:rPr>
        <w:br w:type="page"/>
      </w:r>
    </w:p>
    <w:p w14:paraId="045DBBA3" w14:textId="1DEB8939" w:rsidR="00852121" w:rsidRPr="00B55437" w:rsidRDefault="00D93736" w:rsidP="005C53F3">
      <w:pPr>
        <w:pStyle w:val="Nagwek1"/>
        <w:numPr>
          <w:ilvl w:val="0"/>
          <w:numId w:val="41"/>
        </w:numPr>
        <w:spacing w:before="0" w:after="0" w:line="240" w:lineRule="auto"/>
        <w:rPr>
          <w:rFonts w:ascii="Arial" w:hAnsi="Arial" w:cs="Arial"/>
          <w:b/>
          <w:bCs/>
          <w:color w:val="auto"/>
          <w:sz w:val="22"/>
          <w:szCs w:val="22"/>
        </w:rPr>
      </w:pPr>
      <w:bookmarkStart w:id="13" w:name="_Toc1624052245"/>
      <w:r w:rsidRPr="6941ADB9">
        <w:rPr>
          <w:rFonts w:ascii="Arial" w:hAnsi="Arial"/>
          <w:b/>
          <w:bCs/>
          <w:color w:val="auto"/>
          <w:sz w:val="22"/>
          <w:szCs w:val="22"/>
        </w:rPr>
        <w:lastRenderedPageBreak/>
        <w:t>Use case 04: the life cycle of plans, scenarios and versioning</w:t>
      </w:r>
      <w:bookmarkEnd w:id="13"/>
    </w:p>
    <w:p w14:paraId="1AF40E58" w14:textId="77777777" w:rsidR="00852121" w:rsidRPr="00B55437" w:rsidRDefault="00852121" w:rsidP="00852121">
      <w:pPr>
        <w:rPr>
          <w:rFonts w:ascii="Arial" w:hAnsi="Arial" w:cs="Arial"/>
        </w:rPr>
      </w:pPr>
    </w:p>
    <w:p w14:paraId="1FD70D4E" w14:textId="65B9D33C" w:rsidR="00852121" w:rsidRPr="00B55437" w:rsidRDefault="00852121" w:rsidP="00722AAE">
      <w:pPr>
        <w:pStyle w:val="Nagwek1"/>
        <w:numPr>
          <w:ilvl w:val="1"/>
          <w:numId w:val="41"/>
        </w:numPr>
        <w:spacing w:before="0" w:after="0" w:line="240" w:lineRule="auto"/>
        <w:rPr>
          <w:rFonts w:ascii="Arial" w:hAnsi="Arial" w:cs="Arial"/>
          <w:b/>
          <w:bCs/>
          <w:color w:val="auto"/>
          <w:sz w:val="22"/>
          <w:szCs w:val="22"/>
        </w:rPr>
      </w:pPr>
      <w:bookmarkStart w:id="14" w:name="_Toc126491997"/>
      <w:r w:rsidRPr="6941ADB9">
        <w:rPr>
          <w:rFonts w:ascii="Arial" w:hAnsi="Arial"/>
          <w:b/>
          <w:bCs/>
          <w:color w:val="auto"/>
          <w:sz w:val="22"/>
          <w:szCs w:val="22"/>
        </w:rPr>
        <w:t>Use case specification</w:t>
      </w:r>
      <w:bookmarkEnd w:id="14"/>
      <w:r w:rsidRPr="6941ADB9">
        <w:rPr>
          <w:rFonts w:ascii="Arial" w:hAnsi="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3"/>
        <w:gridCol w:w="1087"/>
        <w:gridCol w:w="6862"/>
      </w:tblGrid>
      <w:tr w:rsidR="00852121" w:rsidRPr="00B55437" w14:paraId="4336308F" w14:textId="77777777" w:rsidTr="00F20F5E">
        <w:tc>
          <w:tcPr>
            <w:tcW w:w="1129" w:type="dxa"/>
            <w:vMerge w:val="restart"/>
            <w:shd w:val="clear" w:color="auto" w:fill="C00000"/>
            <w:vAlign w:val="center"/>
          </w:tcPr>
          <w:p w14:paraId="182619D1" w14:textId="77777777" w:rsidR="00852121" w:rsidRPr="00B55437" w:rsidRDefault="00852121">
            <w:pPr>
              <w:jc w:val="center"/>
              <w:rPr>
                <w:rFonts w:ascii="Arial" w:hAnsi="Arial" w:cs="Arial"/>
                <w:smallCaps/>
                <w:color w:val="FFFFFF" w:themeColor="background1"/>
              </w:rPr>
            </w:pPr>
            <w:r>
              <w:rPr>
                <w:rFonts w:ascii="Arial" w:hAnsi="Arial"/>
                <w:smallCaps/>
                <w:color w:val="FFFFFF" w:themeColor="background1"/>
              </w:rPr>
              <w:t>case no.</w:t>
            </w:r>
          </w:p>
        </w:tc>
        <w:tc>
          <w:tcPr>
            <w:tcW w:w="7933" w:type="dxa"/>
            <w:gridSpan w:val="2"/>
            <w:shd w:val="clear" w:color="auto" w:fill="C00000"/>
            <w:vAlign w:val="center"/>
          </w:tcPr>
          <w:p w14:paraId="08B92E69" w14:textId="77777777" w:rsidR="00852121" w:rsidRPr="00B55437" w:rsidRDefault="00852121">
            <w:pPr>
              <w:jc w:val="center"/>
              <w:rPr>
                <w:rFonts w:ascii="Arial" w:hAnsi="Arial" w:cs="Arial"/>
                <w:smallCaps/>
                <w:color w:val="FFFFFF" w:themeColor="background1"/>
              </w:rPr>
            </w:pPr>
            <w:r>
              <w:rPr>
                <w:rFonts w:ascii="Arial" w:hAnsi="Arial"/>
                <w:smallCaps/>
                <w:color w:val="FFFFFF" w:themeColor="background1"/>
              </w:rPr>
              <w:t>functionality</w:t>
            </w:r>
          </w:p>
        </w:tc>
      </w:tr>
      <w:tr w:rsidR="00852121" w:rsidRPr="00B55437" w14:paraId="7BC6D260" w14:textId="77777777" w:rsidTr="00F20F5E">
        <w:tc>
          <w:tcPr>
            <w:tcW w:w="1129" w:type="dxa"/>
            <w:vMerge/>
            <w:shd w:val="clear" w:color="auto" w:fill="C00000"/>
            <w:vAlign w:val="center"/>
          </w:tcPr>
          <w:p w14:paraId="10F1C38E" w14:textId="77777777" w:rsidR="00852121" w:rsidRPr="00B55437" w:rsidRDefault="00852121">
            <w:pPr>
              <w:jc w:val="center"/>
              <w:rPr>
                <w:rFonts w:ascii="Arial" w:hAnsi="Arial" w:cs="Arial"/>
                <w:smallCaps/>
                <w:color w:val="FFFFFF" w:themeColor="background1"/>
              </w:rPr>
            </w:pPr>
          </w:p>
        </w:tc>
        <w:tc>
          <w:tcPr>
            <w:tcW w:w="993" w:type="dxa"/>
            <w:shd w:val="clear" w:color="auto" w:fill="C00000"/>
            <w:vAlign w:val="center"/>
          </w:tcPr>
          <w:p w14:paraId="25E7DDC1" w14:textId="77777777" w:rsidR="00852121" w:rsidRPr="00B55437" w:rsidRDefault="00852121">
            <w:pPr>
              <w:jc w:val="center"/>
              <w:rPr>
                <w:rFonts w:ascii="Arial" w:hAnsi="Arial" w:cs="Arial"/>
                <w:smallCaps/>
                <w:color w:val="FFFFFF" w:themeColor="background1"/>
              </w:rPr>
            </w:pPr>
            <w:r>
              <w:rPr>
                <w:rFonts w:ascii="Arial" w:hAnsi="Arial"/>
                <w:smallCaps/>
                <w:color w:val="FFFFFF" w:themeColor="background1"/>
              </w:rPr>
              <w:t>letter symbols</w:t>
            </w:r>
          </w:p>
        </w:tc>
        <w:tc>
          <w:tcPr>
            <w:tcW w:w="6940" w:type="dxa"/>
            <w:shd w:val="clear" w:color="auto" w:fill="C00000"/>
            <w:vAlign w:val="center"/>
          </w:tcPr>
          <w:p w14:paraId="4B32ED4F" w14:textId="77777777" w:rsidR="00852121" w:rsidRPr="00B55437" w:rsidRDefault="00852121">
            <w:pPr>
              <w:jc w:val="center"/>
              <w:rPr>
                <w:rFonts w:ascii="Arial" w:hAnsi="Arial" w:cs="Arial"/>
                <w:smallCaps/>
                <w:color w:val="FFFFFF" w:themeColor="background1"/>
              </w:rPr>
            </w:pPr>
            <w:r>
              <w:rPr>
                <w:rFonts w:ascii="Arial" w:hAnsi="Arial"/>
                <w:smallCaps/>
                <w:color w:val="FFFFFF" w:themeColor="background1"/>
              </w:rPr>
              <w:t>Name of the functionality</w:t>
            </w:r>
          </w:p>
        </w:tc>
      </w:tr>
      <w:tr w:rsidR="00852121" w:rsidRPr="00B55437" w14:paraId="1D18A3E8" w14:textId="77777777" w:rsidTr="00F20F5E">
        <w:tc>
          <w:tcPr>
            <w:tcW w:w="1129" w:type="dxa"/>
            <w:vAlign w:val="center"/>
          </w:tcPr>
          <w:p w14:paraId="1581B58C" w14:textId="1DA97B47" w:rsidR="00852121" w:rsidRPr="00B55437" w:rsidRDefault="00852121">
            <w:pPr>
              <w:jc w:val="center"/>
              <w:rPr>
                <w:rFonts w:ascii="Arial" w:hAnsi="Arial" w:cs="Arial"/>
                <w:i/>
                <w:smallCaps/>
                <w:color w:val="171717" w:themeColor="background2" w:themeShade="1A"/>
              </w:rPr>
            </w:pPr>
            <w:r>
              <w:rPr>
                <w:rFonts w:ascii="Arial" w:hAnsi="Arial"/>
                <w:i/>
                <w:smallCaps/>
                <w:color w:val="171717" w:themeColor="background2" w:themeShade="1A"/>
              </w:rPr>
              <w:t>04</w:t>
            </w:r>
          </w:p>
        </w:tc>
        <w:tc>
          <w:tcPr>
            <w:tcW w:w="993" w:type="dxa"/>
            <w:vAlign w:val="center"/>
          </w:tcPr>
          <w:p w14:paraId="2C1E7B53" w14:textId="58B56C78" w:rsidR="00852121" w:rsidRPr="00B55437" w:rsidRDefault="00044C29">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F37</w:t>
            </w:r>
            <w:proofErr w:type="spellEnd"/>
          </w:p>
        </w:tc>
        <w:tc>
          <w:tcPr>
            <w:tcW w:w="6940" w:type="dxa"/>
          </w:tcPr>
          <w:p w14:paraId="286DF339" w14:textId="72526CA2" w:rsidR="00852121" w:rsidRPr="00B55437" w:rsidRDefault="007E772A">
            <w:pPr>
              <w:rPr>
                <w:rFonts w:ascii="Arial" w:hAnsi="Arial" w:cs="Arial"/>
                <w:i/>
                <w:iCs/>
                <w:smallCaps/>
                <w:color w:val="171717" w:themeColor="background2" w:themeShade="1A"/>
              </w:rPr>
            </w:pPr>
            <w:r>
              <w:rPr>
                <w:rFonts w:ascii="Arial" w:hAnsi="Arial"/>
                <w:i/>
                <w:smallCaps/>
                <w:color w:val="171717" w:themeColor="background2" w:themeShade="1A"/>
              </w:rPr>
              <w:t>Life-cycle management of goals and plans, from proposal through activation to deactivation, with the ability to track progress and the history of changes made.</w:t>
            </w:r>
          </w:p>
        </w:tc>
      </w:tr>
    </w:tbl>
    <w:p w14:paraId="18370A91" w14:textId="77777777" w:rsidR="00852121" w:rsidRPr="00B55437" w:rsidRDefault="00852121" w:rsidP="00852121">
      <w:pPr>
        <w:rPr>
          <w:rFonts w:ascii="Arial" w:hAnsi="Arial" w:cs="Arial"/>
        </w:rPr>
      </w:pPr>
    </w:p>
    <w:p w14:paraId="32C178E4" w14:textId="132690E4" w:rsidR="00852121" w:rsidRPr="00B55437" w:rsidRDefault="00852121" w:rsidP="00722AAE">
      <w:pPr>
        <w:pStyle w:val="Nagwek1"/>
        <w:numPr>
          <w:ilvl w:val="1"/>
          <w:numId w:val="41"/>
        </w:numPr>
        <w:spacing w:before="0" w:after="0" w:line="240" w:lineRule="auto"/>
        <w:rPr>
          <w:rFonts w:ascii="Arial" w:hAnsi="Arial" w:cs="Arial"/>
          <w:b/>
          <w:bCs/>
          <w:color w:val="auto"/>
          <w:sz w:val="22"/>
          <w:szCs w:val="22"/>
        </w:rPr>
      </w:pPr>
      <w:bookmarkStart w:id="15" w:name="_Toc936526779"/>
      <w:r w:rsidRPr="6941ADB9">
        <w:rPr>
          <w:rFonts w:ascii="Arial" w:hAnsi="Arial"/>
          <w:b/>
          <w:bCs/>
          <w:color w:val="auto"/>
          <w:sz w:val="22"/>
          <w:szCs w:val="22"/>
        </w:rPr>
        <w:t>Use case description</w:t>
      </w:r>
      <w:bookmarkEnd w:id="15"/>
      <w:r w:rsidRPr="6941ADB9">
        <w:rPr>
          <w:rFonts w:ascii="Arial" w:hAnsi="Arial"/>
          <w:b/>
          <w:bCs/>
          <w:color w:val="auto"/>
          <w:sz w:val="22"/>
          <w:szCs w:val="22"/>
        </w:rPr>
        <w:t xml:space="preserve"> </w:t>
      </w:r>
    </w:p>
    <w:p w14:paraId="4347961C" w14:textId="77777777" w:rsidR="00852121" w:rsidRPr="00B55437" w:rsidRDefault="00852121" w:rsidP="00852121">
      <w:pPr>
        <w:rPr>
          <w:rFonts w:ascii="Arial" w:hAnsi="Arial" w:cs="Arial"/>
        </w:rPr>
      </w:pPr>
    </w:p>
    <w:p w14:paraId="3536B331" w14:textId="77777777" w:rsidR="00B47CCB" w:rsidRDefault="00B47CCB">
      <w:r>
        <w:rPr>
          <w:rFonts w:ascii="Arial" w:hAnsi="Arial"/>
        </w:rPr>
        <w:t>The ORLEN Group has drawn up the following plan options for macroeconomic scenario 1:</w:t>
      </w:r>
    </w:p>
    <w:p w14:paraId="35D4281A" w14:textId="5B177B40" w:rsidR="004B1840" w:rsidRPr="00B55437" w:rsidRDefault="00226FA6" w:rsidP="00A546E2">
      <w:pPr>
        <w:pStyle w:val="Akapitzlist"/>
        <w:numPr>
          <w:ilvl w:val="0"/>
          <w:numId w:val="8"/>
        </w:numPr>
        <w:rPr>
          <w:rFonts w:ascii="Arial" w:hAnsi="Arial" w:cs="Arial"/>
        </w:rPr>
      </w:pPr>
      <w:r>
        <w:rPr>
          <w:rFonts w:ascii="Arial" w:hAnsi="Arial"/>
        </w:rPr>
        <w:t>Base case scenario for year n: this will apply for the coming year, unless the forecast EBITDA falls below PLN 32 billion,</w:t>
      </w:r>
    </w:p>
    <w:p w14:paraId="68A34094" w14:textId="4152E910" w:rsidR="00C32AF6" w:rsidRPr="00B55437" w:rsidRDefault="00102EB9" w:rsidP="00A546E2">
      <w:pPr>
        <w:pStyle w:val="Akapitzlist"/>
        <w:numPr>
          <w:ilvl w:val="0"/>
          <w:numId w:val="8"/>
        </w:numPr>
        <w:rPr>
          <w:rFonts w:ascii="Arial" w:hAnsi="Arial" w:cs="Arial"/>
        </w:rPr>
      </w:pPr>
      <w:r>
        <w:rPr>
          <w:rFonts w:ascii="Arial" w:hAnsi="Arial"/>
        </w:rPr>
        <w:t>Alternative scenario (base case) for year n: this will come into effect as soon as the forecast EBITDA falls below PLN 32 billion,</w:t>
      </w:r>
    </w:p>
    <w:p w14:paraId="22B556CE" w14:textId="76CB90F2" w:rsidR="00E042E4" w:rsidRPr="00B55437" w:rsidRDefault="00226FA6" w:rsidP="00A546E2">
      <w:pPr>
        <w:pStyle w:val="Akapitzlist"/>
        <w:numPr>
          <w:ilvl w:val="0"/>
          <w:numId w:val="8"/>
        </w:numPr>
        <w:ind w:left="714" w:hanging="357"/>
        <w:contextualSpacing w:val="0"/>
        <w:rPr>
          <w:rFonts w:ascii="Arial" w:hAnsi="Arial" w:cs="Arial"/>
        </w:rPr>
      </w:pPr>
      <w:r>
        <w:rPr>
          <w:rFonts w:ascii="Arial" w:hAnsi="Arial"/>
        </w:rPr>
        <w:t xml:space="preserve">Scenario for year </w:t>
      </w:r>
      <w:proofErr w:type="spellStart"/>
      <w:r>
        <w:rPr>
          <w:rFonts w:ascii="Arial" w:hAnsi="Arial"/>
        </w:rPr>
        <w:t>n+1</w:t>
      </w:r>
      <w:proofErr w:type="spellEnd"/>
      <w:r>
        <w:rPr>
          <w:rFonts w:ascii="Arial" w:hAnsi="Arial"/>
        </w:rPr>
        <w:t xml:space="preserve">, version I: covers year n-1 until such time as the Alternative Base Case for year n is activated and, in addition, the forecast CAPEX for year n increases by PLN 5 billion above the budget provided for in the original Base Case for year n. At that point, the Alternative Scenario (IA) for year </w:t>
      </w:r>
      <w:proofErr w:type="spellStart"/>
      <w:r>
        <w:rPr>
          <w:rFonts w:ascii="Arial" w:hAnsi="Arial"/>
        </w:rPr>
        <w:t>n+1</w:t>
      </w:r>
      <w:proofErr w:type="spellEnd"/>
      <w:r>
        <w:rPr>
          <w:rFonts w:ascii="Arial" w:hAnsi="Arial"/>
        </w:rPr>
        <w:t xml:space="preserve"> is automatically activated: </w:t>
      </w:r>
    </w:p>
    <w:p w14:paraId="02CD1000" w14:textId="5B3FACE1" w:rsidR="000575EA" w:rsidRPr="00B55437" w:rsidRDefault="004A78FC" w:rsidP="00743326">
      <w:pPr>
        <w:rPr>
          <w:rFonts w:ascii="Arial" w:hAnsi="Arial" w:cs="Arial"/>
        </w:rPr>
      </w:pPr>
      <w:r>
        <w:rPr>
          <w:rFonts w:ascii="Arial" w:hAnsi="Arial"/>
        </w:rPr>
        <w:t xml:space="preserve">The MBO targets set for the ORLEN Group for year n apply to the Base Case scenario. </w:t>
      </w:r>
    </w:p>
    <w:p w14:paraId="507DC022" w14:textId="4DDB405D" w:rsidR="00743326" w:rsidRPr="00B55437" w:rsidRDefault="00EA35D2" w:rsidP="004D5484">
      <w:pPr>
        <w:spacing w:after="120"/>
        <w:rPr>
          <w:rFonts w:ascii="Arial" w:hAnsi="Arial" w:cs="Arial"/>
        </w:rPr>
      </w:pPr>
      <w:r>
        <w:rPr>
          <w:rFonts w:ascii="Arial" w:hAnsi="Arial"/>
        </w:rPr>
        <w:t>Should it be necessary to activate variants B or IA, the targets for year n-1 are automatically adjusted as follows:</w:t>
      </w:r>
    </w:p>
    <w:p w14:paraId="3F7349F4" w14:textId="2CD8843B" w:rsidR="00BF3913" w:rsidRPr="00B55437" w:rsidRDefault="00594C2A" w:rsidP="00A546E2">
      <w:pPr>
        <w:pStyle w:val="Akapitzlist"/>
        <w:numPr>
          <w:ilvl w:val="0"/>
          <w:numId w:val="9"/>
        </w:numPr>
        <w:rPr>
          <w:rFonts w:ascii="Arial" w:hAnsi="Arial" w:cs="Arial"/>
        </w:rPr>
      </w:pPr>
      <w:r>
        <w:rPr>
          <w:rFonts w:ascii="Arial" w:hAnsi="Arial"/>
        </w:rPr>
        <w:t xml:space="preserve">when the EBITDA forecast for year n falls below PLN 32 billion: </w:t>
      </w:r>
    </w:p>
    <w:p w14:paraId="7847FEB9" w14:textId="02E8A637" w:rsidR="0036499A" w:rsidRPr="00B55437" w:rsidRDefault="002015C7" w:rsidP="00A546E2">
      <w:pPr>
        <w:pStyle w:val="Akapitzlist"/>
        <w:numPr>
          <w:ilvl w:val="1"/>
          <w:numId w:val="9"/>
        </w:numPr>
        <w:rPr>
          <w:rFonts w:ascii="Arial" w:hAnsi="Arial" w:cs="Arial"/>
        </w:rPr>
      </w:pPr>
      <w:r>
        <w:rPr>
          <w:rFonts w:ascii="Arial" w:hAnsi="Arial"/>
        </w:rPr>
        <w:t>The objective for year n, entitled "Cost Optimisation," replaces the XYZ objective. The new target indicates an expected cost reduction of PLN 1 billion compared with the Base Case (performance criterion 0/1).</w:t>
      </w:r>
    </w:p>
    <w:p w14:paraId="7BC013DE" w14:textId="0F0E0175" w:rsidR="006C737D" w:rsidRPr="00B55437" w:rsidRDefault="003758C6" w:rsidP="00A546E2">
      <w:pPr>
        <w:pStyle w:val="Akapitzlist"/>
        <w:numPr>
          <w:ilvl w:val="0"/>
          <w:numId w:val="9"/>
        </w:numPr>
        <w:rPr>
          <w:rFonts w:ascii="Arial" w:hAnsi="Arial" w:cs="Arial"/>
        </w:rPr>
      </w:pPr>
      <w:r>
        <w:rPr>
          <w:rFonts w:ascii="Arial" w:hAnsi="Arial"/>
        </w:rPr>
        <w:t>The EBITDA forecast for year n falls below PLN 32 billion, and, in addition, the forecast CAPEX for year n rises by PLN 5 billion above the budget in the base case:</w:t>
      </w:r>
    </w:p>
    <w:p w14:paraId="01980712" w14:textId="082A5A9A" w:rsidR="00EA617D" w:rsidRPr="00B55437" w:rsidRDefault="00EA617D" w:rsidP="00A546E2">
      <w:pPr>
        <w:pStyle w:val="Akapitzlist"/>
        <w:numPr>
          <w:ilvl w:val="1"/>
          <w:numId w:val="9"/>
        </w:numPr>
        <w:rPr>
          <w:rFonts w:ascii="Arial" w:hAnsi="Arial" w:cs="Arial"/>
        </w:rPr>
      </w:pPr>
      <w:r>
        <w:rPr>
          <w:rFonts w:ascii="Arial" w:hAnsi="Arial"/>
        </w:rPr>
        <w:t>The target for year n, entitled "Cost Optimisation," replaces the XYZ target and indicates an expected cost reduction of PLN 2 billion compared with the Base Case (achievement 0/1) and</w:t>
      </w:r>
    </w:p>
    <w:p w14:paraId="292DB5CA" w14:textId="5FAAE50B" w:rsidR="00A73CD6" w:rsidRPr="00B55437" w:rsidRDefault="00A73CD6" w:rsidP="00A546E2">
      <w:pPr>
        <w:pStyle w:val="Akapitzlist"/>
        <w:numPr>
          <w:ilvl w:val="1"/>
          <w:numId w:val="9"/>
        </w:numPr>
        <w:rPr>
          <w:rFonts w:ascii="Arial" w:hAnsi="Arial" w:cs="Arial"/>
        </w:rPr>
      </w:pPr>
      <w:r>
        <w:rPr>
          <w:rFonts w:ascii="Arial" w:hAnsi="Arial"/>
        </w:rPr>
        <w:t>The target for year n, named "CAPEX Optimisation," replaces the YZ target and indicates the expected level of CAPEX reduction of PLN 2 billion compared with the Base Case (0% = 0% achievement, 100% = PLN 2 billion achieved – % of target achievement calculated on a linear basis) and</w:t>
      </w:r>
    </w:p>
    <w:p w14:paraId="658C0B4C" w14:textId="1C52DF26" w:rsidR="00D45F58" w:rsidRPr="00B55437" w:rsidRDefault="00D45F58" w:rsidP="00A546E2">
      <w:pPr>
        <w:pStyle w:val="Akapitzlist"/>
        <w:numPr>
          <w:ilvl w:val="1"/>
          <w:numId w:val="9"/>
        </w:numPr>
        <w:rPr>
          <w:rFonts w:ascii="Arial" w:hAnsi="Arial" w:cs="Arial"/>
        </w:rPr>
      </w:pPr>
      <w:r>
        <w:rPr>
          <w:rFonts w:ascii="Arial" w:hAnsi="Arial"/>
        </w:rPr>
        <w:t xml:space="preserve">The MBO target for year n, entitled "Margin Optimisation," replaces Target Z and indicates an expected increase in the sales margin of PLN 1 billion compared with the Base Case (performance 0/1) </w:t>
      </w:r>
    </w:p>
    <w:p w14:paraId="0FB70E2E" w14:textId="77777777" w:rsidR="00B47CCB" w:rsidRDefault="00B47CCB">
      <w:r>
        <w:rPr>
          <w:rFonts w:ascii="Arial" w:hAnsi="Arial"/>
        </w:rPr>
        <w:t>Additionally, the company has also prepared macroeconomic scenario B, for which the plan variants described above apply, except that the EBITDA and CAPEX levels described above amount to not PLN 32 billion, but PLN 40 billion, and the increase in CAPEX is not PLN 5 billion but PLN 8 billion. The other figures, including the MBO targets and their modifications, remain consistent with the aforementioned Scenario A.</w:t>
      </w:r>
    </w:p>
    <w:p w14:paraId="5D9A34BA" w14:textId="77777777" w:rsidR="00796B90" w:rsidRPr="00B55437" w:rsidRDefault="00796B90">
      <w:pPr>
        <w:jc w:val="left"/>
        <w:rPr>
          <w:rFonts w:ascii="Arial" w:eastAsiaTheme="majorEastAsia" w:hAnsi="Arial" w:cs="Arial"/>
          <w:b/>
          <w:bCs/>
        </w:rPr>
      </w:pPr>
      <w:r w:rsidRPr="00B55437">
        <w:rPr>
          <w:rFonts w:ascii="Arial" w:hAnsi="Arial"/>
          <w:b/>
          <w:bCs/>
        </w:rPr>
        <w:br w:type="page"/>
      </w:r>
    </w:p>
    <w:p w14:paraId="64036C2C" w14:textId="7CE38212" w:rsidR="00CE4A30" w:rsidRPr="00B55437" w:rsidRDefault="00D93736" w:rsidP="005C53F3">
      <w:pPr>
        <w:pStyle w:val="Nagwek1"/>
        <w:numPr>
          <w:ilvl w:val="0"/>
          <w:numId w:val="41"/>
        </w:numPr>
        <w:spacing w:before="0" w:after="0" w:line="240" w:lineRule="auto"/>
        <w:rPr>
          <w:rFonts w:ascii="Arial" w:hAnsi="Arial" w:cs="Arial"/>
          <w:b/>
          <w:bCs/>
          <w:color w:val="auto"/>
          <w:sz w:val="22"/>
          <w:szCs w:val="22"/>
        </w:rPr>
      </w:pPr>
      <w:bookmarkStart w:id="16" w:name="_Toc1067386295"/>
      <w:r w:rsidRPr="6941ADB9">
        <w:rPr>
          <w:rFonts w:ascii="Arial" w:hAnsi="Arial"/>
          <w:b/>
          <w:bCs/>
          <w:color w:val="auto"/>
          <w:sz w:val="22"/>
          <w:szCs w:val="22"/>
        </w:rPr>
        <w:lastRenderedPageBreak/>
        <w:t>Use case 05: flexibility of plans and investments</w:t>
      </w:r>
      <w:bookmarkEnd w:id="16"/>
    </w:p>
    <w:p w14:paraId="3E88C009" w14:textId="77777777" w:rsidR="001470A1" w:rsidRPr="00B55437" w:rsidRDefault="001470A1" w:rsidP="001470A1">
      <w:pPr>
        <w:pStyle w:val="Nagwek1"/>
        <w:spacing w:before="0" w:after="0" w:line="240" w:lineRule="auto"/>
        <w:ind w:left="432"/>
        <w:rPr>
          <w:rFonts w:ascii="Arial" w:hAnsi="Arial" w:cs="Arial"/>
          <w:b/>
          <w:bCs/>
          <w:color w:val="auto"/>
          <w:sz w:val="22"/>
          <w:szCs w:val="22"/>
        </w:rPr>
      </w:pPr>
    </w:p>
    <w:p w14:paraId="5D47751B" w14:textId="4F34C6F4" w:rsidR="001470A1" w:rsidRPr="00B55437" w:rsidRDefault="001470A1" w:rsidP="001470A1">
      <w:pPr>
        <w:pStyle w:val="Nagwek1"/>
        <w:numPr>
          <w:ilvl w:val="1"/>
          <w:numId w:val="41"/>
        </w:numPr>
        <w:spacing w:before="0" w:after="0" w:line="240" w:lineRule="auto"/>
        <w:rPr>
          <w:rFonts w:ascii="Arial" w:hAnsi="Arial" w:cs="Arial"/>
          <w:b/>
          <w:bCs/>
          <w:color w:val="auto"/>
          <w:sz w:val="22"/>
          <w:szCs w:val="22"/>
        </w:rPr>
      </w:pPr>
      <w:bookmarkStart w:id="17" w:name="_Toc908716910"/>
      <w:r w:rsidRPr="6941ADB9">
        <w:rPr>
          <w:rFonts w:ascii="Arial" w:hAnsi="Arial"/>
          <w:b/>
          <w:bCs/>
          <w:color w:val="auto"/>
          <w:sz w:val="22"/>
          <w:szCs w:val="22"/>
        </w:rPr>
        <w:t>Use case specification</w:t>
      </w:r>
      <w:bookmarkEnd w:id="17"/>
      <w:r w:rsidRPr="6941ADB9">
        <w:rPr>
          <w:rFonts w:ascii="Arial" w:hAnsi="Arial"/>
          <w:b/>
          <w:bCs/>
          <w:color w:val="auto"/>
          <w:sz w:val="22"/>
          <w:szCs w:val="22"/>
        </w:rPr>
        <w:t xml:space="preserve"> </w:t>
      </w:r>
    </w:p>
    <w:p w14:paraId="6FB06B72" w14:textId="3C0612BD" w:rsidR="77DA738E" w:rsidRPr="00B55437" w:rsidRDefault="77DA738E" w:rsidP="766414A3">
      <w:pPr>
        <w:pStyle w:val="Nagwek1"/>
        <w:spacing w:before="0" w:after="0" w:line="240" w:lineRule="auto"/>
        <w:ind w:left="792"/>
        <w:rPr>
          <w:rFonts w:ascii="Arial" w:hAnsi="Arial" w:cs="Arial"/>
          <w:b/>
          <w:bCs/>
          <w:color w:val="auto"/>
          <w:sz w:val="22"/>
          <w:szCs w:val="22"/>
        </w:rPr>
      </w:pPr>
    </w:p>
    <w:tbl>
      <w:tblPr>
        <w:tblStyle w:val="Tabela-Siatka"/>
        <w:tblW w:w="0" w:type="auto"/>
        <w:tblInd w:w="90" w:type="dxa"/>
        <w:tblLook w:val="04A0" w:firstRow="1" w:lastRow="0" w:firstColumn="1" w:lastColumn="0" w:noHBand="0" w:noVBand="1"/>
      </w:tblPr>
      <w:tblGrid>
        <w:gridCol w:w="1108"/>
        <w:gridCol w:w="1441"/>
        <w:gridCol w:w="6413"/>
      </w:tblGrid>
      <w:tr w:rsidR="766414A3" w:rsidRPr="00B55437" w14:paraId="58B32D44" w14:textId="77777777" w:rsidTr="005C53F3">
        <w:trPr>
          <w:trHeight w:val="300"/>
        </w:trPr>
        <w:tc>
          <w:tcPr>
            <w:tcW w:w="1108" w:type="dxa"/>
            <w:vMerge w:val="restart"/>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05716806" w14:textId="65E42103" w:rsidR="766414A3" w:rsidRPr="00B55437" w:rsidRDefault="766414A3" w:rsidP="766414A3">
            <w:pPr>
              <w:jc w:val="center"/>
              <w:rPr>
                <w:rFonts w:ascii="Arial" w:hAnsi="Arial" w:cs="Arial"/>
              </w:rPr>
            </w:pPr>
            <w:r>
              <w:rPr>
                <w:rFonts w:ascii="Arial" w:hAnsi="Arial"/>
                <w:smallCaps/>
                <w:color w:val="FFFFFF" w:themeColor="background1"/>
              </w:rPr>
              <w:t>case no.</w:t>
            </w:r>
          </w:p>
        </w:tc>
        <w:tc>
          <w:tcPr>
            <w:tcW w:w="7854" w:type="dxa"/>
            <w:gridSpan w:val="2"/>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305990A4" w14:textId="6E2C857F" w:rsidR="766414A3" w:rsidRPr="00B55437" w:rsidRDefault="766414A3" w:rsidP="766414A3">
            <w:pPr>
              <w:jc w:val="center"/>
              <w:rPr>
                <w:rFonts w:ascii="Arial" w:hAnsi="Arial" w:cs="Arial"/>
              </w:rPr>
            </w:pPr>
            <w:r>
              <w:rPr>
                <w:rFonts w:ascii="Arial" w:hAnsi="Arial"/>
                <w:smallCaps/>
                <w:color w:val="FFFFFF" w:themeColor="background1"/>
              </w:rPr>
              <w:t>functionality</w:t>
            </w:r>
          </w:p>
        </w:tc>
      </w:tr>
      <w:tr w:rsidR="766414A3" w:rsidRPr="00B55437" w14:paraId="62D43D11" w14:textId="77777777" w:rsidTr="005C53F3">
        <w:trPr>
          <w:trHeight w:val="300"/>
        </w:trPr>
        <w:tc>
          <w:tcPr>
            <w:tcW w:w="1108" w:type="dxa"/>
            <w:vMerge/>
            <w:tcBorders>
              <w:left w:val="single" w:sz="0" w:space="0" w:color="auto"/>
              <w:bottom w:val="single" w:sz="0" w:space="0" w:color="auto"/>
              <w:right w:val="single" w:sz="0" w:space="0" w:color="auto"/>
            </w:tcBorders>
            <w:vAlign w:val="center"/>
          </w:tcPr>
          <w:p w14:paraId="3FE913F9" w14:textId="77777777" w:rsidR="00B1286D" w:rsidRPr="00B55437" w:rsidRDefault="00B1286D">
            <w:pPr>
              <w:rPr>
                <w:rFonts w:ascii="Arial" w:hAnsi="Arial" w:cs="Arial"/>
              </w:rPr>
            </w:pPr>
          </w:p>
        </w:tc>
        <w:tc>
          <w:tcPr>
            <w:tcW w:w="1441" w:type="dxa"/>
            <w:tcBorders>
              <w:top w:val="single" w:sz="8" w:space="0" w:color="auto"/>
              <w:left w:val="nil"/>
              <w:bottom w:val="single" w:sz="8" w:space="0" w:color="auto"/>
              <w:right w:val="single" w:sz="8" w:space="0" w:color="auto"/>
            </w:tcBorders>
            <w:shd w:val="clear" w:color="auto" w:fill="C00000"/>
            <w:tcMar>
              <w:left w:w="108" w:type="dxa"/>
              <w:right w:w="108" w:type="dxa"/>
            </w:tcMar>
            <w:vAlign w:val="center"/>
          </w:tcPr>
          <w:p w14:paraId="44590B78" w14:textId="1BEC49AA" w:rsidR="766414A3" w:rsidRPr="00B55437" w:rsidRDefault="766414A3" w:rsidP="766414A3">
            <w:pPr>
              <w:jc w:val="center"/>
              <w:rPr>
                <w:rFonts w:ascii="Arial" w:hAnsi="Arial" w:cs="Arial"/>
              </w:rPr>
            </w:pPr>
            <w:r>
              <w:rPr>
                <w:rFonts w:ascii="Arial" w:hAnsi="Arial"/>
                <w:smallCaps/>
                <w:color w:val="FFFFFF" w:themeColor="background1"/>
              </w:rPr>
              <w:t>letter symbols</w:t>
            </w:r>
          </w:p>
        </w:tc>
        <w:tc>
          <w:tcPr>
            <w:tcW w:w="6413" w:type="dxa"/>
            <w:tcBorders>
              <w:top w:val="nil"/>
              <w:left w:val="single" w:sz="8" w:space="0" w:color="auto"/>
              <w:bottom w:val="single" w:sz="8" w:space="0" w:color="auto"/>
              <w:right w:val="single" w:sz="8" w:space="0" w:color="auto"/>
            </w:tcBorders>
            <w:shd w:val="clear" w:color="auto" w:fill="C00000"/>
            <w:tcMar>
              <w:left w:w="108" w:type="dxa"/>
              <w:right w:w="108" w:type="dxa"/>
            </w:tcMar>
            <w:vAlign w:val="center"/>
          </w:tcPr>
          <w:p w14:paraId="0580793C" w14:textId="498F40B3" w:rsidR="766414A3" w:rsidRPr="00B55437" w:rsidRDefault="766414A3" w:rsidP="766414A3">
            <w:pPr>
              <w:jc w:val="center"/>
              <w:rPr>
                <w:rFonts w:ascii="Arial" w:hAnsi="Arial" w:cs="Arial"/>
              </w:rPr>
            </w:pPr>
            <w:r>
              <w:rPr>
                <w:rFonts w:ascii="Arial" w:hAnsi="Arial"/>
                <w:smallCaps/>
                <w:color w:val="FFFFFF" w:themeColor="background1"/>
              </w:rPr>
              <w:t>Name of the functionality</w:t>
            </w:r>
          </w:p>
        </w:tc>
      </w:tr>
      <w:tr w:rsidR="766414A3" w:rsidRPr="00B55437" w14:paraId="215FC25B" w14:textId="77777777" w:rsidTr="005C53F3">
        <w:trPr>
          <w:trHeight w:val="420"/>
        </w:trPr>
        <w:tc>
          <w:tcPr>
            <w:tcW w:w="1108" w:type="dxa"/>
            <w:tcBorders>
              <w:top w:val="nil"/>
              <w:left w:val="single" w:sz="8" w:space="0" w:color="auto"/>
              <w:bottom w:val="single" w:sz="8" w:space="0" w:color="auto"/>
              <w:right w:val="single" w:sz="8" w:space="0" w:color="auto"/>
            </w:tcBorders>
            <w:tcMar>
              <w:left w:w="108" w:type="dxa"/>
              <w:right w:w="108" w:type="dxa"/>
            </w:tcMar>
            <w:vAlign w:val="center"/>
          </w:tcPr>
          <w:p w14:paraId="598F1479" w14:textId="36B0319D" w:rsidR="766414A3" w:rsidRPr="00B55437" w:rsidRDefault="766414A3" w:rsidP="766414A3">
            <w:pPr>
              <w:jc w:val="center"/>
              <w:rPr>
                <w:rFonts w:ascii="Arial" w:eastAsia="Arial" w:hAnsi="Arial" w:cs="Arial"/>
                <w:i/>
                <w:smallCaps/>
                <w:color w:val="171717" w:themeColor="background2" w:themeShade="1A"/>
              </w:rPr>
            </w:pP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49259D" w14:textId="454B7FF8" w:rsidR="766414A3" w:rsidRPr="00B55437" w:rsidRDefault="766414A3" w:rsidP="766414A3">
            <w:pPr>
              <w:jc w:val="center"/>
              <w:rPr>
                <w:rFonts w:ascii="Arial" w:eastAsia="Arial" w:hAnsi="Arial" w:cs="Arial"/>
                <w:i/>
                <w:smallCaps/>
                <w:color w:val="171717" w:themeColor="background2" w:themeShade="1A"/>
              </w:rPr>
            </w:pPr>
            <w:proofErr w:type="spellStart"/>
            <w:r>
              <w:rPr>
                <w:rFonts w:ascii="Arial" w:hAnsi="Arial"/>
                <w:i/>
                <w:smallCaps/>
                <w:color w:val="171717" w:themeColor="background2" w:themeShade="1A"/>
              </w:rPr>
              <w:t>F3</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1E84FC44" w14:textId="14C9D5B8" w:rsidR="766414A3" w:rsidRPr="00B55437" w:rsidRDefault="766414A3" w:rsidP="766414A3">
            <w:pPr>
              <w:rPr>
                <w:rFonts w:ascii="Arial" w:eastAsia="Arial" w:hAnsi="Arial" w:cs="Arial"/>
                <w:i/>
                <w:iCs/>
                <w:smallCaps/>
                <w:color w:val="171717" w:themeColor="background2" w:themeShade="1A"/>
              </w:rPr>
            </w:pPr>
            <w:r>
              <w:rPr>
                <w:rFonts w:ascii="Arial" w:hAnsi="Arial"/>
                <w:i/>
                <w:smallCaps/>
                <w:color w:val="171717" w:themeColor="background2" w:themeShade="1A"/>
              </w:rPr>
              <w:t>Entering and management of financial data on a cash and accrual basis.</w:t>
            </w:r>
          </w:p>
        </w:tc>
      </w:tr>
      <w:tr w:rsidR="766414A3" w:rsidRPr="00B55437" w14:paraId="446F9C80" w14:textId="77777777" w:rsidTr="005C53F3">
        <w:trPr>
          <w:trHeight w:val="420"/>
        </w:trPr>
        <w:tc>
          <w:tcPr>
            <w:tcW w:w="1108" w:type="dxa"/>
            <w:tcBorders>
              <w:top w:val="nil"/>
              <w:left w:val="single" w:sz="8" w:space="0" w:color="auto"/>
              <w:bottom w:val="single" w:sz="8" w:space="0" w:color="auto"/>
              <w:right w:val="single" w:sz="8" w:space="0" w:color="auto"/>
            </w:tcBorders>
            <w:tcMar>
              <w:left w:w="108" w:type="dxa"/>
              <w:right w:w="108" w:type="dxa"/>
            </w:tcMar>
            <w:vAlign w:val="center"/>
          </w:tcPr>
          <w:p w14:paraId="7747A2A9" w14:textId="322D5D1C" w:rsidR="766414A3" w:rsidRPr="00B55437" w:rsidRDefault="766414A3" w:rsidP="766414A3">
            <w:pPr>
              <w:jc w:val="center"/>
              <w:rPr>
                <w:rFonts w:ascii="Arial" w:eastAsia="Arial" w:hAnsi="Arial" w:cs="Arial"/>
                <w:i/>
                <w:iCs/>
                <w:smallCaps/>
                <w:color w:val="171717" w:themeColor="background2" w:themeShade="1A"/>
              </w:rPr>
            </w:pP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7DCC1" w14:textId="6A08D907" w:rsidR="766414A3" w:rsidRPr="00B55437" w:rsidRDefault="766414A3" w:rsidP="766414A3">
            <w:pPr>
              <w:jc w:val="center"/>
              <w:rPr>
                <w:rFonts w:ascii="Arial" w:eastAsiaTheme="minorEastAsia" w:hAnsi="Arial" w:cs="Arial"/>
                <w:i/>
                <w:iCs/>
                <w:smallCaps/>
                <w:color w:val="171717" w:themeColor="background2" w:themeShade="1A"/>
              </w:rPr>
            </w:pPr>
            <w:proofErr w:type="spellStart"/>
            <w:r>
              <w:rPr>
                <w:rFonts w:ascii="Arial" w:hAnsi="Arial"/>
                <w:i/>
                <w:smallCaps/>
                <w:color w:val="171717" w:themeColor="background2" w:themeShade="1A"/>
              </w:rPr>
              <w:t>F4</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3E7BC3BC" w14:textId="0521EE62" w:rsidR="766414A3" w:rsidRPr="00B55437" w:rsidRDefault="766414A3" w:rsidP="766414A3">
            <w:pPr>
              <w:jc w:val="left"/>
              <w:rPr>
                <w:rFonts w:ascii="Arial" w:eastAsiaTheme="minorEastAsia" w:hAnsi="Arial" w:cs="Arial"/>
                <w:i/>
                <w:iCs/>
                <w:smallCaps/>
                <w:color w:val="171717" w:themeColor="background2" w:themeShade="1A"/>
              </w:rPr>
            </w:pPr>
            <w:r>
              <w:rPr>
                <w:rFonts w:ascii="Arial" w:hAnsi="Arial"/>
                <w:i/>
                <w:smallCaps/>
                <w:color w:val="171717" w:themeColor="background2" w:themeShade="1A"/>
              </w:rPr>
              <w:t>Dynamic rescheduling of investments, taking into account the portfolio effect (impact on key financial and operational metrics of the base case scenario), with alerts triggered in the event of an impact on related projects.</w:t>
            </w:r>
          </w:p>
        </w:tc>
      </w:tr>
      <w:tr w:rsidR="766414A3" w:rsidRPr="00B55437" w14:paraId="58C6E9C5" w14:textId="77777777" w:rsidTr="005C53F3">
        <w:trPr>
          <w:trHeight w:val="420"/>
        </w:trPr>
        <w:tc>
          <w:tcPr>
            <w:tcW w:w="1108"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1DECA02F" w14:textId="6CB2FB84" w:rsidR="766414A3" w:rsidRPr="00B55437" w:rsidRDefault="766414A3" w:rsidP="766414A3">
            <w:pPr>
              <w:jc w:val="center"/>
              <w:rPr>
                <w:rFonts w:ascii="Arial" w:hAnsi="Arial" w:cs="Arial"/>
              </w:rPr>
            </w:pPr>
            <w:r>
              <w:rPr>
                <w:rFonts w:ascii="Arial" w:hAnsi="Arial"/>
                <w:i/>
                <w:smallCaps/>
                <w:color w:val="171717" w:themeColor="background2" w:themeShade="1A"/>
              </w:rPr>
              <w:t>05</w:t>
            </w:r>
          </w:p>
        </w:tc>
        <w:tc>
          <w:tcPr>
            <w:tcW w:w="1441"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6C8860" w14:textId="4A33D285" w:rsidR="766414A3" w:rsidRPr="00B55437" w:rsidRDefault="766414A3" w:rsidP="766414A3">
            <w:pPr>
              <w:jc w:val="center"/>
              <w:rPr>
                <w:rFonts w:ascii="Arial" w:hAnsi="Arial" w:cs="Arial"/>
              </w:rPr>
            </w:pPr>
            <w:proofErr w:type="spellStart"/>
            <w:r>
              <w:rPr>
                <w:rFonts w:ascii="Arial" w:hAnsi="Arial"/>
                <w:i/>
                <w:smallCaps/>
                <w:color w:val="171717" w:themeColor="background2" w:themeShade="1A"/>
              </w:rPr>
              <w:t>F5</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4E6C99EA" w14:textId="11644BC6" w:rsidR="766414A3" w:rsidRPr="00B55437" w:rsidRDefault="766414A3" w:rsidP="766414A3">
            <w:pPr>
              <w:rPr>
                <w:rFonts w:ascii="Arial" w:hAnsi="Arial" w:cs="Arial"/>
              </w:rPr>
            </w:pPr>
            <w:r>
              <w:rPr>
                <w:rFonts w:ascii="Arial" w:hAnsi="Arial"/>
                <w:i/>
                <w:smallCaps/>
                <w:color w:val="171717" w:themeColor="background2" w:themeShade="1A"/>
              </w:rPr>
              <w:t xml:space="preserve">Performance of scenario analyses taking into account changing macroeconomic, market, regulatory, operational and cost conditions, in line with business requirements. </w:t>
            </w:r>
          </w:p>
        </w:tc>
      </w:tr>
      <w:tr w:rsidR="766414A3" w:rsidRPr="00B55437" w14:paraId="28E87326" w14:textId="77777777" w:rsidTr="005C53F3">
        <w:trPr>
          <w:trHeight w:val="420"/>
        </w:trPr>
        <w:tc>
          <w:tcPr>
            <w:tcW w:w="1108" w:type="dxa"/>
            <w:vMerge/>
            <w:tcBorders>
              <w:left w:val="single" w:sz="0" w:space="0" w:color="auto"/>
              <w:bottom w:val="single" w:sz="0" w:space="0" w:color="auto"/>
              <w:right w:val="single" w:sz="0" w:space="0" w:color="auto"/>
            </w:tcBorders>
            <w:vAlign w:val="center"/>
          </w:tcPr>
          <w:p w14:paraId="6B8782A2" w14:textId="77777777" w:rsidR="00B1286D" w:rsidRPr="00B55437" w:rsidRDefault="00B1286D">
            <w:pPr>
              <w:rPr>
                <w:rFonts w:ascii="Arial" w:hAnsi="Arial" w:cs="Arial"/>
              </w:rPr>
            </w:pPr>
          </w:p>
        </w:tc>
        <w:tc>
          <w:tcPr>
            <w:tcW w:w="1441" w:type="dxa"/>
            <w:vMerge/>
            <w:tcBorders>
              <w:left w:val="single" w:sz="0" w:space="0" w:color="auto"/>
              <w:bottom w:val="single" w:sz="0" w:space="0" w:color="auto"/>
              <w:right w:val="single" w:sz="0" w:space="0" w:color="auto"/>
            </w:tcBorders>
            <w:vAlign w:val="center"/>
          </w:tcPr>
          <w:p w14:paraId="1B57849A" w14:textId="77777777" w:rsidR="00B1286D" w:rsidRPr="00B55437" w:rsidRDefault="00B1286D">
            <w:pPr>
              <w:rPr>
                <w:rFonts w:ascii="Arial" w:hAnsi="Arial" w:cs="Arial"/>
              </w:rPr>
            </w:pPr>
          </w:p>
        </w:tc>
        <w:tc>
          <w:tcPr>
            <w:tcW w:w="6413" w:type="dxa"/>
            <w:tcBorders>
              <w:top w:val="single" w:sz="8" w:space="0" w:color="auto"/>
              <w:left w:val="nil"/>
              <w:bottom w:val="single" w:sz="8" w:space="0" w:color="auto"/>
              <w:right w:val="single" w:sz="8" w:space="0" w:color="auto"/>
            </w:tcBorders>
            <w:tcMar>
              <w:left w:w="108" w:type="dxa"/>
              <w:right w:w="108" w:type="dxa"/>
            </w:tcMar>
          </w:tcPr>
          <w:p w14:paraId="07AB3D2D" w14:textId="1206EFF2" w:rsidR="766414A3" w:rsidRPr="00B55437" w:rsidRDefault="766414A3" w:rsidP="766414A3">
            <w:pPr>
              <w:rPr>
                <w:rFonts w:ascii="Arial" w:hAnsi="Arial" w:cs="Arial"/>
              </w:rPr>
            </w:pPr>
            <w:r>
              <w:rPr>
                <w:rFonts w:ascii="Arial" w:hAnsi="Arial"/>
                <w:i/>
                <w:smallCaps/>
                <w:color w:val="171717" w:themeColor="background2" w:themeShade="1A"/>
              </w:rPr>
              <w:t>Incorporation of boundary conditions into the optimisation of organisational strategies – such as debt levels, production volumes, market share, etc. – and issuing alerts should these conditions not be met.</w:t>
            </w:r>
          </w:p>
        </w:tc>
      </w:tr>
      <w:tr w:rsidR="766414A3" w:rsidRPr="00B55437" w14:paraId="2E166DBD" w14:textId="77777777" w:rsidTr="005C53F3">
        <w:trPr>
          <w:trHeight w:val="420"/>
        </w:trPr>
        <w:tc>
          <w:tcPr>
            <w:tcW w:w="1108" w:type="dxa"/>
            <w:vMerge/>
            <w:tcBorders>
              <w:left w:val="single" w:sz="0" w:space="0" w:color="auto"/>
              <w:right w:val="single" w:sz="0" w:space="0" w:color="auto"/>
            </w:tcBorders>
            <w:vAlign w:val="center"/>
          </w:tcPr>
          <w:p w14:paraId="7C8DFF36" w14:textId="77777777" w:rsidR="00B1286D" w:rsidRPr="00B55437" w:rsidRDefault="00B1286D">
            <w:pPr>
              <w:rPr>
                <w:rFonts w:ascii="Arial" w:hAnsi="Arial" w:cs="Arial"/>
              </w:rPr>
            </w:pPr>
          </w:p>
        </w:tc>
        <w:tc>
          <w:tcPr>
            <w:tcW w:w="1441" w:type="dxa"/>
            <w:tcBorders>
              <w:top w:val="nil"/>
              <w:left w:val="nil"/>
              <w:bottom w:val="single" w:sz="8" w:space="0" w:color="auto"/>
              <w:right w:val="single" w:sz="8" w:space="0" w:color="auto"/>
            </w:tcBorders>
            <w:tcMar>
              <w:left w:w="108" w:type="dxa"/>
              <w:right w:w="108" w:type="dxa"/>
            </w:tcMar>
            <w:vAlign w:val="center"/>
          </w:tcPr>
          <w:p w14:paraId="009456C4" w14:textId="004A6D62" w:rsidR="05DBB9CE" w:rsidRPr="00B55437" w:rsidRDefault="05DBB9CE" w:rsidP="766414A3">
            <w:pPr>
              <w:jc w:val="center"/>
              <w:rPr>
                <w:rFonts w:ascii="Arial" w:eastAsia="Arial" w:hAnsi="Arial" w:cs="Arial"/>
                <w:i/>
                <w:iCs/>
                <w:smallCaps/>
                <w:color w:val="171717" w:themeColor="background2" w:themeShade="1A"/>
              </w:rPr>
            </w:pPr>
            <w:proofErr w:type="spellStart"/>
            <w:r>
              <w:rPr>
                <w:rFonts w:ascii="Arial" w:hAnsi="Arial"/>
                <w:i/>
                <w:smallCaps/>
                <w:color w:val="171717" w:themeColor="background2" w:themeShade="1A"/>
              </w:rPr>
              <w:t>F16</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17BBBEAE" w14:textId="161524D5" w:rsidR="766414A3" w:rsidRPr="00B55437" w:rsidRDefault="766414A3" w:rsidP="766414A3">
            <w:pPr>
              <w:rPr>
                <w:rFonts w:ascii="Arial" w:eastAsiaTheme="minorEastAsia" w:hAnsi="Arial" w:cs="Arial"/>
                <w:i/>
                <w:iCs/>
                <w:smallCaps/>
                <w:color w:val="171717" w:themeColor="background2" w:themeShade="1A"/>
              </w:rPr>
            </w:pPr>
            <w:r>
              <w:rPr>
                <w:rFonts w:ascii="Arial" w:hAnsi="Arial"/>
                <w:i/>
                <w:smallCaps/>
                <w:color w:val="171717" w:themeColor="background2" w:themeShade="1A"/>
              </w:rPr>
              <w:t>Development of business and financial scenarios, performance of scenario analyses and stress tests in line with changing assumptions (scenario modelling, e.g. what-if analysis).</w:t>
            </w:r>
          </w:p>
        </w:tc>
      </w:tr>
      <w:tr w:rsidR="766414A3" w:rsidRPr="00B55437" w14:paraId="68D4C008" w14:textId="77777777" w:rsidTr="005C53F3">
        <w:trPr>
          <w:trHeight w:val="420"/>
        </w:trPr>
        <w:tc>
          <w:tcPr>
            <w:tcW w:w="1108" w:type="dxa"/>
            <w:vMerge/>
            <w:tcBorders>
              <w:left w:val="single" w:sz="0" w:space="0" w:color="auto"/>
              <w:right w:val="single" w:sz="0" w:space="0" w:color="auto"/>
            </w:tcBorders>
            <w:vAlign w:val="center"/>
          </w:tcPr>
          <w:p w14:paraId="6F2AE973" w14:textId="77777777" w:rsidR="00B1286D" w:rsidRPr="00B55437" w:rsidRDefault="00B1286D">
            <w:pPr>
              <w:rPr>
                <w:rFonts w:ascii="Arial" w:hAnsi="Arial" w:cs="Arial"/>
              </w:rPr>
            </w:pPr>
          </w:p>
        </w:tc>
        <w:tc>
          <w:tcPr>
            <w:tcW w:w="1441" w:type="dxa"/>
            <w:tcBorders>
              <w:top w:val="nil"/>
              <w:left w:val="nil"/>
              <w:bottom w:val="single" w:sz="8" w:space="0" w:color="auto"/>
              <w:right w:val="single" w:sz="8" w:space="0" w:color="auto"/>
            </w:tcBorders>
            <w:tcMar>
              <w:left w:w="108" w:type="dxa"/>
              <w:right w:w="108" w:type="dxa"/>
            </w:tcMar>
            <w:vAlign w:val="center"/>
          </w:tcPr>
          <w:p w14:paraId="06D55067" w14:textId="53C01D1D" w:rsidR="05DBB9CE" w:rsidRPr="00B55437" w:rsidRDefault="05DBB9CE" w:rsidP="766414A3">
            <w:pPr>
              <w:jc w:val="center"/>
              <w:rPr>
                <w:rFonts w:ascii="Arial" w:hAnsi="Arial" w:cs="Arial"/>
              </w:rPr>
            </w:pPr>
            <w:proofErr w:type="spellStart"/>
            <w:r>
              <w:rPr>
                <w:rFonts w:ascii="Arial" w:hAnsi="Arial"/>
                <w:i/>
                <w:smallCaps/>
                <w:color w:val="171717" w:themeColor="background2" w:themeShade="1A"/>
              </w:rPr>
              <w:t>F20</w:t>
            </w:r>
            <w:proofErr w:type="spellEnd"/>
          </w:p>
          <w:p w14:paraId="147A3898" w14:textId="40DFE639" w:rsidR="766414A3" w:rsidRPr="00B55437" w:rsidRDefault="766414A3" w:rsidP="766414A3">
            <w:pPr>
              <w:jc w:val="center"/>
              <w:rPr>
                <w:rFonts w:ascii="Arial" w:eastAsia="Arial" w:hAnsi="Arial" w:cs="Arial"/>
                <w:i/>
                <w:iCs/>
                <w:smallCaps/>
                <w:color w:val="171717" w:themeColor="background2" w:themeShade="1A"/>
              </w:rPr>
            </w:pP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0E8E56B2" w14:textId="4222CBA4" w:rsidR="05DBB9CE" w:rsidRPr="00B55437" w:rsidRDefault="05DBB9CE" w:rsidP="766414A3">
            <w:pPr>
              <w:rPr>
                <w:rFonts w:ascii="Arial" w:hAnsi="Arial" w:cs="Arial"/>
              </w:rPr>
            </w:pPr>
            <w:r>
              <w:rPr>
                <w:rFonts w:ascii="Arial" w:hAnsi="Arial"/>
                <w:i/>
                <w:smallCaps/>
                <w:color w:val="171717" w:themeColor="background2" w:themeShade="1A"/>
              </w:rPr>
              <w:t>Modelling relationships between plans, and between plans and data, in order to enable interoperability between selected elements (e.g. interoperability between the financial plan and the investment plan, allowing the budget and forecasts to be updated automatically in response to changes in investment plans, automatic updating of long-term plans with the short-term plan, and automatic update of plans based on actual performance).</w:t>
            </w:r>
          </w:p>
        </w:tc>
      </w:tr>
      <w:tr w:rsidR="766414A3" w:rsidRPr="00B55437" w14:paraId="5DB0FEB6" w14:textId="77777777" w:rsidTr="005C53F3">
        <w:trPr>
          <w:trHeight w:val="420"/>
        </w:trPr>
        <w:tc>
          <w:tcPr>
            <w:tcW w:w="1108" w:type="dxa"/>
            <w:vMerge/>
            <w:tcBorders>
              <w:left w:val="single" w:sz="0" w:space="0" w:color="auto"/>
              <w:right w:val="single" w:sz="0" w:space="0" w:color="auto"/>
            </w:tcBorders>
            <w:vAlign w:val="center"/>
          </w:tcPr>
          <w:p w14:paraId="37F8AB34" w14:textId="77777777" w:rsidR="00B1286D" w:rsidRPr="00B55437" w:rsidRDefault="00B1286D">
            <w:pPr>
              <w:rPr>
                <w:rFonts w:ascii="Arial" w:hAnsi="Arial" w:cs="Arial"/>
              </w:rPr>
            </w:pPr>
          </w:p>
        </w:tc>
        <w:tc>
          <w:tcPr>
            <w:tcW w:w="1441" w:type="dxa"/>
            <w:tcBorders>
              <w:top w:val="single" w:sz="8" w:space="0" w:color="auto"/>
              <w:left w:val="nil"/>
              <w:bottom w:val="single" w:sz="8" w:space="0" w:color="auto"/>
              <w:right w:val="single" w:sz="8" w:space="0" w:color="auto"/>
            </w:tcBorders>
            <w:tcMar>
              <w:left w:w="108" w:type="dxa"/>
              <w:right w:w="108" w:type="dxa"/>
            </w:tcMar>
            <w:vAlign w:val="center"/>
          </w:tcPr>
          <w:p w14:paraId="3C250179" w14:textId="6B391295" w:rsidR="766414A3" w:rsidRPr="00B55437" w:rsidRDefault="766414A3" w:rsidP="766414A3">
            <w:pPr>
              <w:jc w:val="center"/>
              <w:rPr>
                <w:rFonts w:ascii="Arial" w:hAnsi="Arial" w:cs="Arial"/>
              </w:rPr>
            </w:pPr>
            <w:proofErr w:type="spellStart"/>
            <w:r>
              <w:rPr>
                <w:rFonts w:ascii="Arial" w:hAnsi="Arial"/>
                <w:i/>
                <w:smallCaps/>
                <w:color w:val="171717" w:themeColor="background2" w:themeShade="1A"/>
              </w:rPr>
              <w:t>F50</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5B3705B1" w14:textId="6CA217D2" w:rsidR="766414A3" w:rsidRPr="00B55437" w:rsidRDefault="766414A3" w:rsidP="766414A3">
            <w:pPr>
              <w:rPr>
                <w:rFonts w:ascii="Arial" w:hAnsi="Arial" w:cs="Arial"/>
              </w:rPr>
            </w:pPr>
            <w:r>
              <w:rPr>
                <w:rFonts w:ascii="Arial" w:hAnsi="Arial"/>
                <w:i/>
                <w:smallCaps/>
                <w:color w:val="171717" w:themeColor="background2" w:themeShade="1A"/>
              </w:rPr>
              <w:t>Defining the terms of business partners’ participation in projects or companies, with implications for financing and consolidation.</w:t>
            </w:r>
          </w:p>
        </w:tc>
      </w:tr>
      <w:tr w:rsidR="766414A3" w:rsidRPr="00B55437" w14:paraId="281AEAB8" w14:textId="77777777" w:rsidTr="005C53F3">
        <w:trPr>
          <w:trHeight w:val="420"/>
        </w:trPr>
        <w:tc>
          <w:tcPr>
            <w:tcW w:w="1108" w:type="dxa"/>
            <w:vMerge/>
            <w:tcBorders>
              <w:left w:val="single" w:sz="0" w:space="0" w:color="auto"/>
              <w:bottom w:val="single" w:sz="0" w:space="0" w:color="auto"/>
              <w:right w:val="single" w:sz="0" w:space="0" w:color="auto"/>
            </w:tcBorders>
            <w:vAlign w:val="center"/>
          </w:tcPr>
          <w:p w14:paraId="2869545A" w14:textId="77777777" w:rsidR="00B1286D" w:rsidRPr="00B55437" w:rsidRDefault="00B1286D">
            <w:pPr>
              <w:rPr>
                <w:rFonts w:ascii="Arial" w:hAnsi="Arial" w:cs="Arial"/>
              </w:rPr>
            </w:pPr>
          </w:p>
        </w:tc>
        <w:tc>
          <w:tcPr>
            <w:tcW w:w="1441" w:type="dxa"/>
            <w:tcBorders>
              <w:top w:val="single" w:sz="8" w:space="0" w:color="auto"/>
              <w:left w:val="nil"/>
              <w:bottom w:val="single" w:sz="8" w:space="0" w:color="auto"/>
              <w:right w:val="single" w:sz="8" w:space="0" w:color="auto"/>
            </w:tcBorders>
            <w:tcMar>
              <w:left w:w="108" w:type="dxa"/>
              <w:right w:w="108" w:type="dxa"/>
            </w:tcMar>
            <w:vAlign w:val="center"/>
          </w:tcPr>
          <w:p w14:paraId="75771425" w14:textId="2F7D0806" w:rsidR="766414A3" w:rsidRPr="00B55437" w:rsidRDefault="766414A3" w:rsidP="766414A3">
            <w:pPr>
              <w:jc w:val="center"/>
              <w:rPr>
                <w:rFonts w:ascii="Arial" w:hAnsi="Arial" w:cs="Arial"/>
              </w:rPr>
            </w:pPr>
            <w:proofErr w:type="spellStart"/>
            <w:r>
              <w:rPr>
                <w:rFonts w:ascii="Arial" w:hAnsi="Arial"/>
                <w:i/>
                <w:smallCaps/>
                <w:color w:val="171717" w:themeColor="background2" w:themeShade="1A"/>
              </w:rPr>
              <w:t>F52</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7434639C" w14:textId="72C83D4D" w:rsidR="766414A3" w:rsidRPr="00B55437" w:rsidRDefault="00085882" w:rsidP="766414A3">
            <w:pPr>
              <w:rPr>
                <w:rFonts w:ascii="Arial" w:hAnsi="Arial" w:cs="Arial"/>
              </w:rPr>
            </w:pPr>
            <w:r>
              <w:rPr>
                <w:rFonts w:ascii="Arial" w:hAnsi="Arial"/>
                <w:i/>
                <w:smallCaps/>
                <w:color w:val="171717" w:themeColor="background2" w:themeShade="1A"/>
              </w:rPr>
              <w:t>Option to develop scenarios for the purposes of IAS 36 and to carry out impairment tests.</w:t>
            </w:r>
          </w:p>
        </w:tc>
      </w:tr>
    </w:tbl>
    <w:p w14:paraId="0BE25677" w14:textId="3B9AC5F6" w:rsidR="766414A3" w:rsidRPr="00B55437" w:rsidRDefault="766414A3" w:rsidP="766414A3">
      <w:pPr>
        <w:spacing w:line="257" w:lineRule="auto"/>
        <w:rPr>
          <w:rFonts w:ascii="Arial" w:eastAsia="Arial" w:hAnsi="Arial" w:cs="Arial"/>
          <w:i/>
          <w:iCs/>
          <w:smallCaps/>
          <w:color w:val="171717" w:themeColor="background2" w:themeShade="1A"/>
        </w:rPr>
      </w:pPr>
    </w:p>
    <w:p w14:paraId="2F179F37" w14:textId="30A32CEB" w:rsidR="77DA738E" w:rsidRPr="00B55437" w:rsidRDefault="77DA738E" w:rsidP="00722AAE">
      <w:pPr>
        <w:pStyle w:val="Nagwek1"/>
        <w:numPr>
          <w:ilvl w:val="1"/>
          <w:numId w:val="41"/>
        </w:numPr>
        <w:spacing w:before="0" w:after="0" w:line="240" w:lineRule="auto"/>
        <w:rPr>
          <w:rFonts w:ascii="Arial" w:hAnsi="Arial" w:cs="Arial"/>
          <w:b/>
          <w:bCs/>
          <w:color w:val="auto"/>
          <w:sz w:val="22"/>
          <w:szCs w:val="22"/>
        </w:rPr>
      </w:pPr>
      <w:bookmarkStart w:id="18" w:name="_Toc904168023"/>
      <w:r w:rsidRPr="6941ADB9">
        <w:rPr>
          <w:rFonts w:ascii="Arial" w:hAnsi="Arial"/>
          <w:b/>
          <w:bCs/>
          <w:color w:val="auto"/>
          <w:sz w:val="22"/>
          <w:szCs w:val="22"/>
        </w:rPr>
        <w:t>Use case description</w:t>
      </w:r>
      <w:bookmarkEnd w:id="18"/>
      <w:r w:rsidRPr="6941ADB9">
        <w:rPr>
          <w:rFonts w:ascii="Arial" w:hAnsi="Arial"/>
          <w:b/>
          <w:bCs/>
          <w:color w:val="auto"/>
          <w:sz w:val="22"/>
          <w:szCs w:val="22"/>
        </w:rPr>
        <w:t xml:space="preserve"> </w:t>
      </w:r>
    </w:p>
    <w:p w14:paraId="09918BD1" w14:textId="5A7F29F0" w:rsidR="77DA738E" w:rsidRPr="00B55437" w:rsidRDefault="77DA738E" w:rsidP="7FAA108D">
      <w:pPr>
        <w:spacing w:line="257" w:lineRule="auto"/>
        <w:rPr>
          <w:rFonts w:ascii="Arial" w:hAnsi="Arial" w:cs="Arial"/>
        </w:rPr>
      </w:pPr>
      <w:r>
        <w:rPr>
          <w:rFonts w:ascii="Arial" w:hAnsi="Arial"/>
        </w:rPr>
        <w:t xml:space="preserve"> </w:t>
      </w:r>
    </w:p>
    <w:p w14:paraId="347CDC14" w14:textId="77777777" w:rsidR="00B47CCB" w:rsidRDefault="00B47CCB">
      <w:r>
        <w:rPr>
          <w:rFonts w:ascii="Arial" w:hAnsi="Arial"/>
        </w:rPr>
        <w:t>ORLEN S.A. has drawn up a medium-term plan for the years 2026–2028, organised on an annual basis. The Management Board has decided to update the macroeconomic assumptions for 2027 and 2028. In view of the above, a new version of the plan should be drawn up.</w:t>
      </w:r>
    </w:p>
    <w:p w14:paraId="6F6F8388" w14:textId="32BA9C94" w:rsidR="00ED5759" w:rsidRPr="00B55437" w:rsidRDefault="77DA738E" w:rsidP="766414A3">
      <w:pPr>
        <w:spacing w:line="257" w:lineRule="auto"/>
        <w:rPr>
          <w:rFonts w:ascii="Arial" w:eastAsia="Aptos" w:hAnsi="Arial" w:cs="Arial"/>
        </w:rPr>
      </w:pPr>
      <w:r>
        <w:rPr>
          <w:rFonts w:ascii="Arial" w:hAnsi="Arial"/>
        </w:rPr>
        <w:t xml:space="preserve">Furthermore, in view of the poorer market outlook, the Management Board has decided to suspend two (2) investment projects and to sell a 50% stake in one (1) of its special-purpose subsidiaries to a partner. </w:t>
      </w:r>
    </w:p>
    <w:p w14:paraId="35BEC98C" w14:textId="3D869784" w:rsidR="77DA738E" w:rsidRPr="00B55437" w:rsidRDefault="35DC3316" w:rsidP="766414A3">
      <w:pPr>
        <w:spacing w:line="257" w:lineRule="auto"/>
        <w:rPr>
          <w:rFonts w:ascii="Arial" w:eastAsia="Aptos" w:hAnsi="Arial" w:cs="Arial"/>
        </w:rPr>
      </w:pPr>
      <w:r>
        <w:rPr>
          <w:rFonts w:ascii="Arial" w:hAnsi="Arial"/>
        </w:rPr>
        <w:t xml:space="preserve">The modelling is carried out on an annual basis. For the purposes of impairment testing, the company presents its figures broken down into two CGUs (Cash Generating Units) – CGU 1: current operations, and CGU 2: two (2) investment projects.  We do not carry out impairment tests on </w:t>
      </w:r>
      <w:proofErr w:type="spellStart"/>
      <w:r>
        <w:rPr>
          <w:rFonts w:ascii="Arial" w:hAnsi="Arial"/>
        </w:rPr>
        <w:t>SPVs</w:t>
      </w:r>
      <w:proofErr w:type="spellEnd"/>
      <w:r>
        <w:rPr>
          <w:rFonts w:ascii="Arial" w:hAnsi="Arial"/>
        </w:rPr>
        <w:t xml:space="preserve"> (neither assets nor shares – we exclude this item from the analysis). </w:t>
      </w:r>
    </w:p>
    <w:p w14:paraId="6F052364" w14:textId="77777777" w:rsidR="00B47CCB" w:rsidRDefault="00B47CCB">
      <w:r>
        <w:rPr>
          <w:rFonts w:ascii="Arial" w:hAnsi="Arial"/>
        </w:rPr>
        <w:lastRenderedPageBreak/>
        <w:t>In view of the above, it is necessary to submit a new version of the plan that takes into account:</w:t>
      </w:r>
    </w:p>
    <w:p w14:paraId="76844899" w14:textId="26AE7182" w:rsidR="77DA738E" w:rsidRPr="00B55437" w:rsidRDefault="77DA738E" w:rsidP="00B47CCB">
      <w:pPr>
        <w:pStyle w:val="Akapitzlist"/>
        <w:numPr>
          <w:ilvl w:val="0"/>
          <w:numId w:val="13"/>
        </w:numPr>
        <w:spacing w:after="0" w:line="240" w:lineRule="auto"/>
        <w:contextualSpacing w:val="0"/>
        <w:rPr>
          <w:rFonts w:ascii="Arial" w:eastAsia="Aptos" w:hAnsi="Arial" w:cs="Arial"/>
        </w:rPr>
      </w:pPr>
      <w:r w:rsidRPr="6941ADB9">
        <w:rPr>
          <w:rFonts w:ascii="Arial" w:hAnsi="Arial"/>
        </w:rPr>
        <w:t>T</w:t>
      </w:r>
      <w:r w:rsidR="4213FDFD" w:rsidRPr="6941ADB9">
        <w:rPr>
          <w:rFonts w:ascii="Arial" w:hAnsi="Arial"/>
        </w:rPr>
        <w:t>he discontinuation of investment project</w:t>
      </w:r>
      <w:r w:rsidRPr="6941ADB9">
        <w:rPr>
          <w:rFonts w:ascii="Arial" w:hAnsi="Arial"/>
        </w:rPr>
        <w:t xml:space="preserve"> number 1, which forms a separate part of </w:t>
      </w:r>
      <w:proofErr w:type="spellStart"/>
      <w:r w:rsidRPr="6941ADB9">
        <w:rPr>
          <w:rFonts w:ascii="Arial" w:hAnsi="Arial"/>
        </w:rPr>
        <w:t>CGU2</w:t>
      </w:r>
      <w:proofErr w:type="spellEnd"/>
      <w:r w:rsidRPr="6941ADB9">
        <w:rPr>
          <w:rFonts w:ascii="Arial" w:hAnsi="Arial"/>
        </w:rPr>
        <w:t xml:space="preserve"> and is being carried out by Orlen S.A.:</w:t>
      </w:r>
    </w:p>
    <w:p w14:paraId="36048A80" w14:textId="334F3D20" w:rsidR="77DA738E" w:rsidRPr="00B55437" w:rsidRDefault="77DA738E" w:rsidP="00B47CCB">
      <w:pPr>
        <w:pStyle w:val="Akapitzlist"/>
        <w:numPr>
          <w:ilvl w:val="1"/>
          <w:numId w:val="13"/>
        </w:numPr>
        <w:spacing w:after="0" w:line="240" w:lineRule="auto"/>
        <w:contextualSpacing w:val="0"/>
        <w:rPr>
          <w:rFonts w:ascii="Arial" w:eastAsia="Aptos" w:hAnsi="Arial" w:cs="Arial"/>
        </w:rPr>
      </w:pPr>
      <w:r>
        <w:rPr>
          <w:rFonts w:ascii="Arial" w:hAnsi="Arial"/>
        </w:rPr>
        <w:t>capital expenditure in 2026 alone</w:t>
      </w:r>
    </w:p>
    <w:p w14:paraId="1202F1E1" w14:textId="77777777" w:rsidR="00B47CCB" w:rsidRPr="00B47CCB" w:rsidRDefault="00B47CCB" w:rsidP="00B47CCB">
      <w:pPr>
        <w:pStyle w:val="Akapitzlist"/>
        <w:numPr>
          <w:ilvl w:val="1"/>
          <w:numId w:val="13"/>
        </w:numPr>
        <w:rPr>
          <w:rFonts w:ascii="Arial" w:eastAsia="Aptos" w:hAnsi="Arial" w:cs="Arial"/>
        </w:rPr>
      </w:pPr>
      <w:r>
        <w:rPr>
          <w:rFonts w:ascii="Arial" w:hAnsi="Arial"/>
        </w:rPr>
        <w:t>operational activities in 2027 and 2028 only. A task that is sensitive to macroeconomic and market assumptions as regards the selling price and production volume, which affect the level of variable costs.</w:t>
      </w:r>
    </w:p>
    <w:p w14:paraId="5D40E982" w14:textId="27AD5AF3" w:rsidR="77DA738E" w:rsidRPr="00B55437" w:rsidRDefault="77DA738E" w:rsidP="00B47CCB">
      <w:pPr>
        <w:pStyle w:val="Akapitzlist"/>
        <w:numPr>
          <w:ilvl w:val="0"/>
          <w:numId w:val="13"/>
        </w:numPr>
        <w:spacing w:after="0" w:line="240" w:lineRule="auto"/>
        <w:contextualSpacing w:val="0"/>
        <w:rPr>
          <w:rFonts w:ascii="Arial" w:eastAsia="Aptos" w:hAnsi="Arial" w:cs="Arial"/>
        </w:rPr>
      </w:pPr>
      <w:r w:rsidRPr="6941ADB9">
        <w:rPr>
          <w:rFonts w:ascii="Arial" w:hAnsi="Arial"/>
        </w:rPr>
        <w:t>T</w:t>
      </w:r>
      <w:r w:rsidR="38AD2C63" w:rsidRPr="6941ADB9">
        <w:rPr>
          <w:rFonts w:ascii="Arial" w:hAnsi="Arial"/>
        </w:rPr>
        <w:t>he discontinuation of investment project</w:t>
      </w:r>
      <w:r w:rsidRPr="6941ADB9">
        <w:rPr>
          <w:rFonts w:ascii="Arial" w:hAnsi="Arial"/>
        </w:rPr>
        <w:t xml:space="preserve"> number 2, which forms a separate part of </w:t>
      </w:r>
      <w:proofErr w:type="spellStart"/>
      <w:r w:rsidRPr="6941ADB9">
        <w:rPr>
          <w:rFonts w:ascii="Arial" w:hAnsi="Arial"/>
        </w:rPr>
        <w:t>CGU2</w:t>
      </w:r>
      <w:proofErr w:type="spellEnd"/>
      <w:r w:rsidRPr="6941ADB9">
        <w:rPr>
          <w:rFonts w:ascii="Arial" w:hAnsi="Arial"/>
        </w:rPr>
        <w:t xml:space="preserve"> and is being carried out by Orlen S.A.:</w:t>
      </w:r>
    </w:p>
    <w:p w14:paraId="74915458" w14:textId="1BCB050C" w:rsidR="77DA738E" w:rsidRPr="00B55437" w:rsidRDefault="77DA738E" w:rsidP="00B47CCB">
      <w:pPr>
        <w:pStyle w:val="Akapitzlist"/>
        <w:numPr>
          <w:ilvl w:val="1"/>
          <w:numId w:val="13"/>
        </w:numPr>
        <w:spacing w:after="0" w:line="240" w:lineRule="auto"/>
        <w:contextualSpacing w:val="0"/>
        <w:rPr>
          <w:rFonts w:ascii="Arial" w:eastAsia="Aptos" w:hAnsi="Arial" w:cs="Arial"/>
        </w:rPr>
      </w:pPr>
      <w:r>
        <w:rPr>
          <w:rFonts w:ascii="Arial" w:hAnsi="Arial"/>
        </w:rPr>
        <w:t>capital expenditure in 2026 alone</w:t>
      </w:r>
    </w:p>
    <w:p w14:paraId="20C57E46" w14:textId="429D3DA6" w:rsidR="77DA738E" w:rsidRPr="00B55437" w:rsidRDefault="77DA738E" w:rsidP="00B47CCB">
      <w:pPr>
        <w:pStyle w:val="Akapitzlist"/>
        <w:numPr>
          <w:ilvl w:val="1"/>
          <w:numId w:val="13"/>
        </w:numPr>
        <w:spacing w:after="0" w:line="240" w:lineRule="auto"/>
        <w:contextualSpacing w:val="0"/>
        <w:rPr>
          <w:rFonts w:ascii="Arial" w:eastAsia="Aptos" w:hAnsi="Arial" w:cs="Arial"/>
        </w:rPr>
      </w:pPr>
      <w:r>
        <w:rPr>
          <w:rFonts w:ascii="Arial" w:hAnsi="Arial"/>
        </w:rPr>
        <w:t xml:space="preserve">operational activities in 2027 and 2028 only. A task that is sensitive to macroeconomic and market assumptions as regards the selling price and production volume, which affect the level of variable costs.  </w:t>
      </w:r>
    </w:p>
    <w:p w14:paraId="67CF15A0" w14:textId="10B03CCC" w:rsidR="00B47CCB" w:rsidRPr="00B47CCB" w:rsidRDefault="00B47CCB" w:rsidP="6941ADB9">
      <w:pPr>
        <w:pStyle w:val="Akapitzlist"/>
        <w:numPr>
          <w:ilvl w:val="1"/>
          <w:numId w:val="13"/>
        </w:numPr>
        <w:rPr>
          <w:rFonts w:ascii="Arial" w:eastAsia="Aptos" w:hAnsi="Arial" w:cs="Arial"/>
        </w:rPr>
      </w:pPr>
      <w:r w:rsidRPr="6941ADB9">
        <w:rPr>
          <w:rFonts w:ascii="Arial" w:hAnsi="Arial"/>
        </w:rPr>
        <w:t xml:space="preserve">Failure to complete the </w:t>
      </w:r>
      <w:r w:rsidR="0EFFC1BA" w:rsidRPr="6941ADB9">
        <w:rPr>
          <w:rFonts w:ascii="Arial" w:hAnsi="Arial"/>
        </w:rPr>
        <w:t xml:space="preserve">project </w:t>
      </w:r>
      <w:r w:rsidRPr="6941ADB9">
        <w:rPr>
          <w:rFonts w:ascii="Arial" w:hAnsi="Arial"/>
        </w:rPr>
        <w:t>limits the production volume of the existing asset (</w:t>
      </w:r>
      <w:proofErr w:type="spellStart"/>
      <w:r w:rsidRPr="6941ADB9">
        <w:rPr>
          <w:rFonts w:ascii="Arial" w:hAnsi="Arial"/>
        </w:rPr>
        <w:t>CGU1</w:t>
      </w:r>
      <w:proofErr w:type="spellEnd"/>
      <w:r w:rsidRPr="6941ADB9">
        <w:rPr>
          <w:rFonts w:ascii="Arial" w:hAnsi="Arial"/>
        </w:rPr>
        <w:t>; this has no impact on capital project no. 1).</w:t>
      </w:r>
    </w:p>
    <w:p w14:paraId="3A986AB1" w14:textId="2A0114E3" w:rsidR="5888E114" w:rsidRPr="00B55437" w:rsidRDefault="5888E114" w:rsidP="00B47CCB">
      <w:pPr>
        <w:pStyle w:val="Akapitzlist"/>
        <w:numPr>
          <w:ilvl w:val="0"/>
          <w:numId w:val="13"/>
        </w:numPr>
        <w:spacing w:after="0" w:line="240" w:lineRule="auto"/>
        <w:contextualSpacing w:val="0"/>
        <w:rPr>
          <w:rFonts w:ascii="Arial" w:eastAsia="Aptos" w:hAnsi="Arial" w:cs="Arial"/>
        </w:rPr>
      </w:pPr>
      <w:r w:rsidRPr="6941ADB9">
        <w:rPr>
          <w:rFonts w:ascii="Arial" w:hAnsi="Arial"/>
        </w:rPr>
        <w:t>A change in the method of consolidating a subsidiary</w:t>
      </w:r>
      <w:r w:rsidR="4759C476" w:rsidRPr="6941ADB9">
        <w:rPr>
          <w:rFonts w:ascii="Arial" w:hAnsi="Arial"/>
        </w:rPr>
        <w:t xml:space="preserve"> (</w:t>
      </w:r>
      <w:proofErr w:type="spellStart"/>
      <w:r w:rsidR="4759C476" w:rsidRPr="6941ADB9">
        <w:rPr>
          <w:rFonts w:ascii="Arial" w:hAnsi="Arial"/>
        </w:rPr>
        <w:t>SPV</w:t>
      </w:r>
      <w:proofErr w:type="spellEnd"/>
      <w:r w:rsidR="4759C476" w:rsidRPr="6941ADB9">
        <w:rPr>
          <w:rFonts w:ascii="Arial" w:hAnsi="Arial"/>
        </w:rPr>
        <w:t>)</w:t>
      </w:r>
      <w:r w:rsidRPr="6941ADB9">
        <w:rPr>
          <w:rFonts w:ascii="Arial" w:hAnsi="Arial"/>
        </w:rPr>
        <w:t xml:space="preserve">, following a change in the shareholding in the company from 100% to 50% (from full consolidation to consolidation using the equity method); sale of shares – we assume a sale price of PLN 0. For the sake of simplicity, we assume that the company will not require any external capital increases during the forecast period. For the sake of simplicity, we do not carry out impairment tests or equity tests for this company. </w:t>
      </w:r>
    </w:p>
    <w:p w14:paraId="2D6F0CBD" w14:textId="614B6AC9" w:rsidR="78636280" w:rsidRPr="00B55437" w:rsidRDefault="78636280" w:rsidP="00B47CCB">
      <w:pPr>
        <w:pStyle w:val="Akapitzlist"/>
        <w:numPr>
          <w:ilvl w:val="0"/>
          <w:numId w:val="13"/>
        </w:numPr>
        <w:spacing w:after="0" w:line="240" w:lineRule="auto"/>
        <w:ind w:left="714" w:hanging="357"/>
        <w:contextualSpacing w:val="0"/>
        <w:rPr>
          <w:rFonts w:ascii="Arial" w:eastAsia="Aptos" w:hAnsi="Arial" w:cs="Arial"/>
        </w:rPr>
      </w:pPr>
      <w:r w:rsidRPr="6941ADB9">
        <w:rPr>
          <w:rFonts w:ascii="Arial" w:hAnsi="Arial"/>
        </w:rPr>
        <w:t xml:space="preserve">Planning the remaining (existing) operations within the new macroeconomic environment, </w:t>
      </w:r>
      <w:r w:rsidR="75D36D64" w:rsidRPr="6941ADB9">
        <w:rPr>
          <w:rFonts w:ascii="Arial" w:hAnsi="Arial"/>
        </w:rPr>
        <w:t>taking into account whether investment projects 1 and/or 2 are implemented or not</w:t>
      </w:r>
      <w:r w:rsidRPr="6941ADB9">
        <w:rPr>
          <w:rFonts w:ascii="Arial" w:hAnsi="Arial"/>
        </w:rPr>
        <w:t>, and the disposal of a 50% stake in a special-purpose subsidiary.</w:t>
      </w:r>
    </w:p>
    <w:p w14:paraId="69AAB448" w14:textId="2A61C7B0" w:rsidR="77DA738E" w:rsidRPr="00B55437" w:rsidRDefault="77DA738E" w:rsidP="6941ADB9">
      <w:pPr>
        <w:rPr>
          <w:rFonts w:ascii="Arial" w:hAnsi="Arial"/>
        </w:rPr>
      </w:pPr>
      <w:r w:rsidRPr="6941ADB9">
        <w:rPr>
          <w:rFonts w:ascii="Arial" w:hAnsi="Arial"/>
        </w:rPr>
        <w:t>This involves recalculating key planning figures and assessing their impact on:</w:t>
      </w:r>
    </w:p>
    <w:p w14:paraId="51792885" w14:textId="53864D82" w:rsidR="77DA738E" w:rsidRPr="00B55437" w:rsidRDefault="77DA738E" w:rsidP="00A546E2">
      <w:pPr>
        <w:pStyle w:val="Akapitzlist"/>
        <w:numPr>
          <w:ilvl w:val="0"/>
          <w:numId w:val="13"/>
        </w:numPr>
        <w:spacing w:after="0" w:line="257" w:lineRule="auto"/>
        <w:rPr>
          <w:rFonts w:ascii="Arial" w:eastAsia="Aptos" w:hAnsi="Arial" w:cs="Arial"/>
        </w:rPr>
      </w:pPr>
      <w:r>
        <w:rPr>
          <w:rFonts w:ascii="Arial" w:hAnsi="Arial"/>
        </w:rPr>
        <w:t>the respective components of Orlen S.A.’s financial statements for the years 2026-2028</w:t>
      </w:r>
    </w:p>
    <w:p w14:paraId="7672BFDD" w14:textId="798C2510" w:rsidR="77DA738E" w:rsidRPr="00B55437" w:rsidRDefault="77DA738E" w:rsidP="00A546E2">
      <w:pPr>
        <w:pStyle w:val="Akapitzlist"/>
        <w:numPr>
          <w:ilvl w:val="0"/>
          <w:numId w:val="13"/>
        </w:numPr>
        <w:spacing w:after="0" w:line="257" w:lineRule="auto"/>
        <w:rPr>
          <w:rFonts w:ascii="Arial" w:eastAsia="Aptos" w:hAnsi="Arial" w:cs="Arial"/>
        </w:rPr>
      </w:pPr>
      <w:r>
        <w:rPr>
          <w:rFonts w:ascii="Arial" w:hAnsi="Arial"/>
        </w:rPr>
        <w:t>Orlen S.A.’s net debt level (including an indication of the scenario resulting in the lowest level of net debt at the end of 2028).</w:t>
      </w:r>
    </w:p>
    <w:p w14:paraId="290428E3" w14:textId="6999E30E" w:rsidR="6753ED00" w:rsidRPr="00B55437" w:rsidRDefault="6753ED00" w:rsidP="00D66121">
      <w:pPr>
        <w:pStyle w:val="Akapitzlist"/>
        <w:numPr>
          <w:ilvl w:val="0"/>
          <w:numId w:val="13"/>
        </w:numPr>
        <w:spacing w:after="120" w:line="257" w:lineRule="auto"/>
        <w:ind w:left="714" w:hanging="357"/>
        <w:contextualSpacing w:val="0"/>
        <w:rPr>
          <w:rFonts w:ascii="Arial" w:eastAsia="Aptos" w:hAnsi="Arial" w:cs="Arial"/>
        </w:rPr>
      </w:pPr>
      <w:r>
        <w:rPr>
          <w:rFonts w:ascii="Arial" w:hAnsi="Arial"/>
        </w:rPr>
        <w:t xml:space="preserve">EBITDA and CAPEX figures for CGU 1 and CGU 2 under the base-case and optimised scenarios. </w:t>
      </w:r>
    </w:p>
    <w:p w14:paraId="63FAD206" w14:textId="2A525A34" w:rsidR="77DA738E" w:rsidRPr="00B55437" w:rsidRDefault="77DA738E" w:rsidP="002B05BA">
      <w:pPr>
        <w:spacing w:after="120" w:line="257" w:lineRule="auto"/>
        <w:rPr>
          <w:rFonts w:ascii="Arial" w:hAnsi="Arial" w:cs="Arial"/>
          <w:spacing w:val="-4"/>
        </w:rPr>
      </w:pPr>
      <w:r>
        <w:rPr>
          <w:rFonts w:ascii="Arial" w:hAnsi="Arial"/>
          <w:spacing w:val="-4"/>
        </w:rPr>
        <w:t>In addition, the change in revenue and costs should be explained in the financial statements, broken down by the effect attributable to:</w:t>
      </w:r>
    </w:p>
    <w:p w14:paraId="0096F627" w14:textId="131CF566" w:rsidR="77DA738E" w:rsidRPr="00B55437" w:rsidRDefault="77DA738E" w:rsidP="00A546E2">
      <w:pPr>
        <w:pStyle w:val="Akapitzlist"/>
        <w:numPr>
          <w:ilvl w:val="0"/>
          <w:numId w:val="13"/>
        </w:numPr>
        <w:spacing w:after="0" w:line="257" w:lineRule="auto"/>
        <w:rPr>
          <w:rFonts w:ascii="Arial" w:eastAsia="Aptos" w:hAnsi="Arial" w:cs="Arial"/>
          <w:spacing w:val="-4"/>
        </w:rPr>
      </w:pPr>
      <w:r>
        <w:rPr>
          <w:rFonts w:ascii="Arial" w:hAnsi="Arial"/>
          <w:spacing w:val="-4"/>
        </w:rPr>
        <w:t>following a change in the macroeconomic assumptions,</w:t>
      </w:r>
    </w:p>
    <w:p w14:paraId="1B444C25" w14:textId="65933AF8" w:rsidR="77DA738E" w:rsidRPr="00B55437" w:rsidRDefault="77DA738E" w:rsidP="00A546E2">
      <w:pPr>
        <w:pStyle w:val="Akapitzlist"/>
        <w:numPr>
          <w:ilvl w:val="0"/>
          <w:numId w:val="13"/>
        </w:numPr>
        <w:spacing w:after="0" w:line="257" w:lineRule="auto"/>
        <w:rPr>
          <w:rFonts w:ascii="Arial" w:eastAsia="Aptos" w:hAnsi="Arial" w:cs="Arial"/>
          <w:spacing w:val="-4"/>
        </w:rPr>
      </w:pPr>
      <w:r>
        <w:rPr>
          <w:rFonts w:ascii="Arial" w:hAnsi="Arial"/>
          <w:spacing w:val="-4"/>
        </w:rPr>
        <w:t>the withdrawal of investment project 1 and the incorporation of changes to the macroeconomic assumptions.</w:t>
      </w:r>
    </w:p>
    <w:p w14:paraId="6FE7A453" w14:textId="688FC795" w:rsidR="77DA738E" w:rsidRPr="00B55437" w:rsidRDefault="77DA738E" w:rsidP="00A546E2">
      <w:pPr>
        <w:pStyle w:val="Akapitzlist"/>
        <w:numPr>
          <w:ilvl w:val="0"/>
          <w:numId w:val="13"/>
        </w:numPr>
        <w:spacing w:after="0" w:line="257" w:lineRule="auto"/>
        <w:rPr>
          <w:rFonts w:ascii="Arial" w:eastAsia="Aptos" w:hAnsi="Arial" w:cs="Arial"/>
          <w:spacing w:val="-4"/>
        </w:rPr>
      </w:pPr>
      <w:r>
        <w:rPr>
          <w:rFonts w:ascii="Arial" w:hAnsi="Arial"/>
          <w:spacing w:val="-4"/>
        </w:rPr>
        <w:t>the withdrawal of investment projects 1 and 2 and taking into account the change in macroeconomic assumptions</w:t>
      </w:r>
    </w:p>
    <w:p w14:paraId="43459104" w14:textId="6F2DE0E7" w:rsidR="7A3633EC" w:rsidRPr="00B55437" w:rsidRDefault="7A3633EC" w:rsidP="00A546E2">
      <w:pPr>
        <w:pStyle w:val="Akapitzlist"/>
        <w:numPr>
          <w:ilvl w:val="0"/>
          <w:numId w:val="13"/>
        </w:numPr>
        <w:spacing w:after="0" w:line="257" w:lineRule="auto"/>
        <w:rPr>
          <w:rFonts w:ascii="Arial" w:eastAsia="Aptos" w:hAnsi="Arial" w:cs="Arial"/>
          <w:spacing w:val="-4"/>
        </w:rPr>
      </w:pPr>
      <w:r>
        <w:rPr>
          <w:rFonts w:ascii="Arial" w:hAnsi="Arial"/>
          <w:spacing w:val="-4"/>
        </w:rPr>
        <w:t>a change in the equity interest in the company from 100% to 50% and a change in the method of its consolidation (a switch to consolidation using the equity method).</w:t>
      </w:r>
    </w:p>
    <w:p w14:paraId="54EF6CBF" w14:textId="362765F0" w:rsidR="766414A3" w:rsidRPr="00B55437" w:rsidRDefault="766414A3" w:rsidP="766414A3">
      <w:pPr>
        <w:pStyle w:val="Akapitzlist"/>
        <w:spacing w:after="0" w:line="257" w:lineRule="auto"/>
        <w:rPr>
          <w:rFonts w:ascii="Arial" w:eastAsia="Aptos" w:hAnsi="Arial" w:cs="Arial"/>
        </w:rPr>
      </w:pPr>
    </w:p>
    <w:p w14:paraId="1DF4CD8B" w14:textId="45424A69" w:rsidR="0068652F" w:rsidRPr="00B55437" w:rsidRDefault="0068652F" w:rsidP="7B6A135C">
      <w:pPr>
        <w:jc w:val="left"/>
        <w:rPr>
          <w:rFonts w:ascii="Arial" w:eastAsia="Arial" w:hAnsi="Arial" w:cs="Arial"/>
        </w:rPr>
      </w:pPr>
      <w:r w:rsidRPr="00B55437">
        <w:rPr>
          <w:rFonts w:ascii="Arial" w:hAnsi="Arial"/>
          <w:b/>
          <w:bCs/>
        </w:rPr>
        <w:br w:type="page"/>
      </w:r>
    </w:p>
    <w:p w14:paraId="73E21091" w14:textId="590F50F9" w:rsidR="0034598D" w:rsidRPr="00B55437" w:rsidRDefault="00D93736" w:rsidP="00627CD6">
      <w:pPr>
        <w:pStyle w:val="Nagwek1"/>
        <w:numPr>
          <w:ilvl w:val="0"/>
          <w:numId w:val="41"/>
        </w:numPr>
        <w:spacing w:before="0" w:after="0" w:line="240" w:lineRule="auto"/>
        <w:rPr>
          <w:rFonts w:ascii="Arial" w:hAnsi="Arial" w:cs="Arial"/>
          <w:b/>
          <w:bCs/>
          <w:color w:val="auto"/>
          <w:sz w:val="22"/>
          <w:szCs w:val="22"/>
        </w:rPr>
      </w:pPr>
      <w:bookmarkStart w:id="19" w:name="_Toc204768155"/>
      <w:r w:rsidRPr="6941ADB9">
        <w:rPr>
          <w:rFonts w:ascii="Arial" w:hAnsi="Arial"/>
          <w:b/>
          <w:bCs/>
          <w:color w:val="auto"/>
          <w:sz w:val="22"/>
          <w:szCs w:val="22"/>
        </w:rPr>
        <w:lastRenderedPageBreak/>
        <w:t>Use case 06: taxes</w:t>
      </w:r>
      <w:bookmarkEnd w:id="19"/>
      <w:r w:rsidRPr="6941ADB9">
        <w:rPr>
          <w:rFonts w:ascii="Arial" w:hAnsi="Arial"/>
          <w:b/>
          <w:bCs/>
          <w:color w:val="auto"/>
          <w:sz w:val="22"/>
          <w:szCs w:val="22"/>
        </w:rPr>
        <w:t xml:space="preserve"> </w:t>
      </w:r>
    </w:p>
    <w:p w14:paraId="42A27E4A" w14:textId="77777777" w:rsidR="0034598D" w:rsidRPr="00B55437" w:rsidRDefault="0034598D" w:rsidP="0034598D">
      <w:pPr>
        <w:rPr>
          <w:rFonts w:ascii="Arial" w:hAnsi="Arial" w:cs="Arial"/>
        </w:rPr>
      </w:pPr>
    </w:p>
    <w:p w14:paraId="6ED3C136" w14:textId="53D66BFB" w:rsidR="0034598D" w:rsidRPr="00B55437" w:rsidRDefault="0034598D" w:rsidP="004D5484">
      <w:pPr>
        <w:pStyle w:val="Nagwek1"/>
        <w:numPr>
          <w:ilvl w:val="1"/>
          <w:numId w:val="41"/>
        </w:numPr>
        <w:spacing w:before="0" w:after="0" w:line="240" w:lineRule="auto"/>
        <w:rPr>
          <w:rFonts w:ascii="Arial" w:hAnsi="Arial" w:cs="Arial"/>
          <w:b/>
          <w:bCs/>
          <w:color w:val="auto"/>
          <w:sz w:val="22"/>
          <w:szCs w:val="22"/>
        </w:rPr>
      </w:pPr>
      <w:bookmarkStart w:id="20" w:name="_Toc990721615"/>
      <w:r w:rsidRPr="6941ADB9">
        <w:rPr>
          <w:rFonts w:ascii="Arial" w:hAnsi="Arial"/>
          <w:b/>
          <w:bCs/>
          <w:color w:val="auto"/>
          <w:sz w:val="22"/>
          <w:szCs w:val="22"/>
        </w:rPr>
        <w:t>Use case specification</w:t>
      </w:r>
      <w:bookmarkEnd w:id="20"/>
      <w:r w:rsidRPr="6941ADB9">
        <w:rPr>
          <w:rFonts w:ascii="Arial" w:hAnsi="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3"/>
        <w:gridCol w:w="1087"/>
        <w:gridCol w:w="6862"/>
      </w:tblGrid>
      <w:tr w:rsidR="0034598D" w:rsidRPr="00B55437" w14:paraId="7B4CF157" w14:textId="77777777">
        <w:tc>
          <w:tcPr>
            <w:tcW w:w="1129" w:type="dxa"/>
            <w:vMerge w:val="restart"/>
            <w:shd w:val="clear" w:color="auto" w:fill="C00000"/>
            <w:vAlign w:val="center"/>
          </w:tcPr>
          <w:p w14:paraId="4CA816C6" w14:textId="77777777" w:rsidR="0034598D" w:rsidRPr="00B55437" w:rsidRDefault="0034598D">
            <w:pPr>
              <w:jc w:val="center"/>
              <w:rPr>
                <w:rFonts w:ascii="Arial" w:hAnsi="Arial" w:cs="Arial"/>
                <w:smallCaps/>
                <w:color w:val="FFFFFF" w:themeColor="background1"/>
              </w:rPr>
            </w:pPr>
            <w:r>
              <w:rPr>
                <w:rFonts w:ascii="Arial" w:hAnsi="Arial"/>
                <w:smallCaps/>
                <w:color w:val="FFFFFF" w:themeColor="background1"/>
              </w:rPr>
              <w:t>case no.</w:t>
            </w:r>
          </w:p>
        </w:tc>
        <w:tc>
          <w:tcPr>
            <w:tcW w:w="7933" w:type="dxa"/>
            <w:gridSpan w:val="2"/>
            <w:shd w:val="clear" w:color="auto" w:fill="C00000"/>
            <w:vAlign w:val="center"/>
          </w:tcPr>
          <w:p w14:paraId="677E81F8" w14:textId="77777777" w:rsidR="0034598D" w:rsidRPr="00B55437" w:rsidRDefault="0034598D">
            <w:pPr>
              <w:jc w:val="center"/>
              <w:rPr>
                <w:rFonts w:ascii="Arial" w:hAnsi="Arial" w:cs="Arial"/>
                <w:smallCaps/>
                <w:color w:val="FFFFFF" w:themeColor="background1"/>
              </w:rPr>
            </w:pPr>
            <w:r>
              <w:rPr>
                <w:rFonts w:ascii="Arial" w:hAnsi="Arial"/>
                <w:smallCaps/>
                <w:color w:val="FFFFFF" w:themeColor="background1"/>
              </w:rPr>
              <w:t>functionality</w:t>
            </w:r>
          </w:p>
        </w:tc>
      </w:tr>
      <w:tr w:rsidR="0034598D" w:rsidRPr="00B55437" w14:paraId="4FD6C285" w14:textId="77777777">
        <w:tc>
          <w:tcPr>
            <w:tcW w:w="1129" w:type="dxa"/>
            <w:vMerge/>
            <w:shd w:val="clear" w:color="auto" w:fill="C00000"/>
            <w:vAlign w:val="center"/>
          </w:tcPr>
          <w:p w14:paraId="51D3862C" w14:textId="77777777" w:rsidR="0034598D" w:rsidRPr="00B55437" w:rsidRDefault="0034598D">
            <w:pPr>
              <w:jc w:val="center"/>
              <w:rPr>
                <w:rFonts w:ascii="Arial" w:hAnsi="Arial" w:cs="Arial"/>
                <w:smallCaps/>
                <w:color w:val="FFFFFF" w:themeColor="background1"/>
              </w:rPr>
            </w:pPr>
          </w:p>
        </w:tc>
        <w:tc>
          <w:tcPr>
            <w:tcW w:w="993" w:type="dxa"/>
            <w:shd w:val="clear" w:color="auto" w:fill="C00000"/>
            <w:vAlign w:val="center"/>
          </w:tcPr>
          <w:p w14:paraId="3ACF31A8" w14:textId="77777777" w:rsidR="0034598D" w:rsidRPr="00B55437" w:rsidRDefault="0034598D">
            <w:pPr>
              <w:jc w:val="center"/>
              <w:rPr>
                <w:rFonts w:ascii="Arial" w:hAnsi="Arial" w:cs="Arial"/>
                <w:smallCaps/>
                <w:color w:val="FFFFFF" w:themeColor="background1"/>
              </w:rPr>
            </w:pPr>
            <w:r>
              <w:rPr>
                <w:rFonts w:ascii="Arial" w:hAnsi="Arial"/>
                <w:smallCaps/>
                <w:color w:val="FFFFFF" w:themeColor="background1"/>
              </w:rPr>
              <w:t>letter symbols</w:t>
            </w:r>
          </w:p>
        </w:tc>
        <w:tc>
          <w:tcPr>
            <w:tcW w:w="6940" w:type="dxa"/>
            <w:shd w:val="clear" w:color="auto" w:fill="C00000"/>
            <w:vAlign w:val="center"/>
          </w:tcPr>
          <w:p w14:paraId="39B0D48C" w14:textId="77777777" w:rsidR="0034598D" w:rsidRPr="00B55437" w:rsidRDefault="0034598D">
            <w:pPr>
              <w:jc w:val="center"/>
              <w:rPr>
                <w:rFonts w:ascii="Arial" w:hAnsi="Arial" w:cs="Arial"/>
                <w:smallCaps/>
                <w:color w:val="FFFFFF" w:themeColor="background1"/>
              </w:rPr>
            </w:pPr>
            <w:r>
              <w:rPr>
                <w:rFonts w:ascii="Arial" w:hAnsi="Arial"/>
                <w:smallCaps/>
                <w:color w:val="FFFFFF" w:themeColor="background1"/>
              </w:rPr>
              <w:t>Name of the functionality</w:t>
            </w:r>
          </w:p>
        </w:tc>
      </w:tr>
      <w:tr w:rsidR="0034598D" w:rsidRPr="00B55437" w14:paraId="4DD5187B" w14:textId="77777777">
        <w:tc>
          <w:tcPr>
            <w:tcW w:w="1129" w:type="dxa"/>
            <w:vAlign w:val="center"/>
          </w:tcPr>
          <w:p w14:paraId="7CF142FA" w14:textId="7C80AAC1" w:rsidR="0034598D" w:rsidRPr="00B55437" w:rsidRDefault="004D5484">
            <w:pPr>
              <w:jc w:val="center"/>
              <w:rPr>
                <w:rFonts w:ascii="Arial" w:hAnsi="Arial" w:cs="Arial"/>
                <w:i/>
                <w:smallCaps/>
                <w:color w:val="171717" w:themeColor="background2" w:themeShade="1A"/>
              </w:rPr>
            </w:pPr>
            <w:r>
              <w:rPr>
                <w:rFonts w:ascii="Arial" w:hAnsi="Arial"/>
                <w:i/>
                <w:smallCaps/>
                <w:color w:val="171717" w:themeColor="background2" w:themeShade="1A"/>
              </w:rPr>
              <w:t>06</w:t>
            </w:r>
          </w:p>
        </w:tc>
        <w:tc>
          <w:tcPr>
            <w:tcW w:w="993" w:type="dxa"/>
            <w:vAlign w:val="center"/>
          </w:tcPr>
          <w:p w14:paraId="4EA368C8" w14:textId="29D117C2" w:rsidR="0034598D" w:rsidRPr="00B55437" w:rsidRDefault="00B21D2E">
            <w:pPr>
              <w:jc w:val="center"/>
              <w:rPr>
                <w:rFonts w:ascii="Arial" w:hAnsi="Arial" w:cs="Arial"/>
                <w:i/>
                <w:smallCaps/>
                <w:color w:val="171717" w:themeColor="background2" w:themeShade="1A"/>
              </w:rPr>
            </w:pPr>
            <w:proofErr w:type="spellStart"/>
            <w:r>
              <w:rPr>
                <w:rFonts w:ascii="Arial" w:hAnsi="Arial"/>
                <w:i/>
                <w:smallCaps/>
                <w:color w:val="171717" w:themeColor="background2" w:themeShade="1A"/>
              </w:rPr>
              <w:t>F21</w:t>
            </w:r>
            <w:proofErr w:type="spellEnd"/>
          </w:p>
        </w:tc>
        <w:tc>
          <w:tcPr>
            <w:tcW w:w="6940" w:type="dxa"/>
          </w:tcPr>
          <w:p w14:paraId="6DF79326" w14:textId="1055C101" w:rsidR="0034598D" w:rsidRPr="00B55437" w:rsidRDefault="00B21D2E">
            <w:pPr>
              <w:rPr>
                <w:rFonts w:ascii="Arial" w:hAnsi="Arial" w:cs="Arial"/>
                <w:i/>
                <w:iCs/>
                <w:smallCaps/>
                <w:color w:val="171717" w:themeColor="background2" w:themeShade="1A"/>
              </w:rPr>
            </w:pPr>
            <w:r>
              <w:rPr>
                <w:rFonts w:ascii="Arial" w:hAnsi="Arial"/>
                <w:i/>
                <w:smallCaps/>
                <w:color w:val="171717" w:themeColor="background2" w:themeShade="1A"/>
              </w:rPr>
              <w:t>Tax management, e.g. corporation tax, Pillar 2, transfer pricing, tax planning, VAT, excise duty, levies and other taxes under various tax regimes.</w:t>
            </w:r>
          </w:p>
        </w:tc>
      </w:tr>
    </w:tbl>
    <w:p w14:paraId="0319144F" w14:textId="77777777" w:rsidR="0034598D" w:rsidRPr="00B55437" w:rsidRDefault="0034598D" w:rsidP="0034598D">
      <w:pPr>
        <w:rPr>
          <w:rFonts w:ascii="Arial" w:hAnsi="Arial" w:cs="Arial"/>
        </w:rPr>
      </w:pPr>
    </w:p>
    <w:p w14:paraId="742CC435" w14:textId="3BB029D7" w:rsidR="0034598D" w:rsidRPr="00B55437" w:rsidRDefault="0034598D" w:rsidP="00627CD6">
      <w:pPr>
        <w:pStyle w:val="Nagwek1"/>
        <w:numPr>
          <w:ilvl w:val="1"/>
          <w:numId w:val="41"/>
        </w:numPr>
        <w:spacing w:before="0" w:after="0" w:line="240" w:lineRule="auto"/>
        <w:rPr>
          <w:rFonts w:ascii="Arial" w:hAnsi="Arial" w:cs="Arial"/>
          <w:b/>
          <w:bCs/>
          <w:color w:val="auto"/>
          <w:sz w:val="22"/>
          <w:szCs w:val="22"/>
        </w:rPr>
      </w:pPr>
      <w:bookmarkStart w:id="21" w:name="_Toc90206563"/>
      <w:r w:rsidRPr="6941ADB9">
        <w:rPr>
          <w:rFonts w:ascii="Arial" w:hAnsi="Arial"/>
          <w:b/>
          <w:bCs/>
          <w:color w:val="auto"/>
          <w:sz w:val="22"/>
          <w:szCs w:val="22"/>
        </w:rPr>
        <w:t>Use case description</w:t>
      </w:r>
      <w:bookmarkEnd w:id="21"/>
      <w:r w:rsidRPr="6941ADB9">
        <w:rPr>
          <w:rFonts w:ascii="Arial" w:hAnsi="Arial"/>
          <w:b/>
          <w:bCs/>
          <w:color w:val="auto"/>
          <w:sz w:val="22"/>
          <w:szCs w:val="22"/>
        </w:rPr>
        <w:t xml:space="preserve"> </w:t>
      </w:r>
    </w:p>
    <w:p w14:paraId="74701738" w14:textId="77777777" w:rsidR="0034598D" w:rsidRPr="00B55437" w:rsidRDefault="0034598D" w:rsidP="0034598D">
      <w:pPr>
        <w:rPr>
          <w:rFonts w:ascii="Arial" w:hAnsi="Arial" w:cs="Arial"/>
        </w:rPr>
      </w:pPr>
    </w:p>
    <w:p w14:paraId="0B37BAC1" w14:textId="6A09381C" w:rsidR="0034598D" w:rsidRPr="00B55437" w:rsidRDefault="0034598D" w:rsidP="0034598D">
      <w:pPr>
        <w:rPr>
          <w:rFonts w:ascii="Arial" w:hAnsi="Arial" w:cs="Arial"/>
        </w:rPr>
      </w:pPr>
      <w:r>
        <w:rPr>
          <w:rFonts w:ascii="Arial" w:hAnsi="Arial"/>
        </w:rPr>
        <w:t>The companies of the ORLEN S.A. Group operate in countries and sectors subject to different tax regulations.</w:t>
      </w:r>
    </w:p>
    <w:p w14:paraId="52841744" w14:textId="2D8821A4" w:rsidR="00103EFA" w:rsidRPr="00B55437" w:rsidRDefault="00B21D2E" w:rsidP="0034598D">
      <w:pPr>
        <w:rPr>
          <w:rFonts w:ascii="Arial" w:hAnsi="Arial" w:cs="Arial"/>
        </w:rPr>
      </w:pPr>
      <w:r>
        <w:rPr>
          <w:rFonts w:ascii="Arial" w:hAnsi="Arial"/>
        </w:rPr>
        <w:t xml:space="preserve">Explain how you plan and recognise differences in tax and balance sheet depreciation/amortisation, as well as how you calculate and account for exchange rate differences and dividends received, in terms of their impact on current tax and deferred tax items. </w:t>
      </w:r>
    </w:p>
    <w:p w14:paraId="59736715" w14:textId="77777777" w:rsidR="00B47CCB" w:rsidRDefault="00B47CCB">
      <w:r>
        <w:rPr>
          <w:rFonts w:ascii="Arial" w:hAnsi="Arial"/>
        </w:rPr>
        <w:t>Furthermore, it must be demonstrated that the company is able to settle its tax liability using the advance payment and simplified schemes, including the full settlement of the tax loss (tax asset) for year n-2 and 50 per cent of the tax loss for year n-1.</w:t>
      </w:r>
    </w:p>
    <w:p w14:paraId="462DDE79" w14:textId="77777777" w:rsidR="00627CD6" w:rsidRPr="00B55437" w:rsidRDefault="00627CD6">
      <w:pPr>
        <w:jc w:val="left"/>
        <w:rPr>
          <w:rFonts w:ascii="Arial" w:hAnsi="Arial" w:cs="Arial"/>
        </w:rPr>
      </w:pPr>
      <w:r w:rsidRPr="00B55437">
        <w:rPr>
          <w:rFonts w:ascii="Arial" w:hAnsi="Arial"/>
        </w:rPr>
        <w:br w:type="page"/>
      </w:r>
    </w:p>
    <w:p w14:paraId="221AA0F0" w14:textId="74DA91F7" w:rsidR="5DC79EE4" w:rsidRPr="00B55437" w:rsidRDefault="00D93736" w:rsidP="00627CD6">
      <w:pPr>
        <w:pStyle w:val="Nagwek1"/>
        <w:numPr>
          <w:ilvl w:val="0"/>
          <w:numId w:val="41"/>
        </w:numPr>
        <w:spacing w:before="0" w:after="0" w:line="240" w:lineRule="auto"/>
        <w:rPr>
          <w:rFonts w:ascii="Arial" w:hAnsi="Arial" w:cs="Arial"/>
          <w:b/>
          <w:bCs/>
          <w:color w:val="auto"/>
          <w:sz w:val="22"/>
          <w:szCs w:val="22"/>
        </w:rPr>
      </w:pPr>
      <w:bookmarkStart w:id="22" w:name="_Toc299577712"/>
      <w:r w:rsidRPr="6941ADB9">
        <w:rPr>
          <w:rFonts w:ascii="Arial" w:hAnsi="Arial"/>
          <w:b/>
          <w:bCs/>
          <w:color w:val="auto"/>
          <w:sz w:val="22"/>
          <w:szCs w:val="22"/>
        </w:rPr>
        <w:lastRenderedPageBreak/>
        <w:t>Use case 07: changes to the rules for scenarios and periods</w:t>
      </w:r>
      <w:bookmarkEnd w:id="22"/>
    </w:p>
    <w:p w14:paraId="58FB147A" w14:textId="276705DD" w:rsidR="5DC79EE4" w:rsidRPr="00B55437" w:rsidRDefault="5DC79EE4" w:rsidP="755DBF50">
      <w:pPr>
        <w:spacing w:line="257" w:lineRule="auto"/>
        <w:rPr>
          <w:rFonts w:ascii="Arial" w:hAnsi="Arial" w:cs="Arial"/>
        </w:rPr>
      </w:pPr>
      <w:r>
        <w:rPr>
          <w:rFonts w:ascii="Arial" w:hAnsi="Arial"/>
        </w:rPr>
        <w:t xml:space="preserve"> </w:t>
      </w:r>
    </w:p>
    <w:p w14:paraId="67FDA7CD" w14:textId="0FFD2AA3" w:rsidR="5DC79EE4" w:rsidRPr="00B55437" w:rsidRDefault="5DC79EE4" w:rsidP="001470A1">
      <w:pPr>
        <w:pStyle w:val="Nagwek1"/>
        <w:numPr>
          <w:ilvl w:val="1"/>
          <w:numId w:val="41"/>
        </w:numPr>
        <w:spacing w:before="0" w:after="0" w:line="240" w:lineRule="auto"/>
        <w:rPr>
          <w:rFonts w:ascii="Arial" w:hAnsi="Arial" w:cs="Arial"/>
          <w:b/>
          <w:bCs/>
          <w:color w:val="auto"/>
          <w:sz w:val="22"/>
          <w:szCs w:val="22"/>
        </w:rPr>
      </w:pPr>
      <w:bookmarkStart w:id="23" w:name="_Toc956576663"/>
      <w:r w:rsidRPr="6941ADB9">
        <w:rPr>
          <w:rFonts w:ascii="Arial" w:hAnsi="Arial"/>
          <w:b/>
          <w:bCs/>
          <w:color w:val="auto"/>
          <w:sz w:val="22"/>
          <w:szCs w:val="22"/>
        </w:rPr>
        <w:t>Use case specification</w:t>
      </w:r>
      <w:bookmarkEnd w:id="23"/>
      <w:r w:rsidRPr="6941ADB9">
        <w:rPr>
          <w:rFonts w:ascii="Arial" w:hAnsi="Arial"/>
          <w:b/>
          <w:bCs/>
          <w:color w:val="auto"/>
          <w:sz w:val="22"/>
          <w:szCs w:val="22"/>
        </w:rPr>
        <w:t xml:space="preserve"> </w:t>
      </w:r>
    </w:p>
    <w:tbl>
      <w:tblPr>
        <w:tblStyle w:val="Tabela-Siatka"/>
        <w:tblW w:w="0" w:type="auto"/>
        <w:tblInd w:w="90" w:type="dxa"/>
        <w:tblLook w:val="04A0" w:firstRow="1" w:lastRow="0" w:firstColumn="1" w:lastColumn="0" w:noHBand="0" w:noVBand="1"/>
      </w:tblPr>
      <w:tblGrid>
        <w:gridCol w:w="1108"/>
        <w:gridCol w:w="1441"/>
        <w:gridCol w:w="6413"/>
      </w:tblGrid>
      <w:tr w:rsidR="755DBF50" w:rsidRPr="00B55437" w14:paraId="4F8A0F29" w14:textId="77777777" w:rsidTr="006B09C1">
        <w:trPr>
          <w:trHeight w:val="300"/>
        </w:trPr>
        <w:tc>
          <w:tcPr>
            <w:tcW w:w="1108" w:type="dxa"/>
            <w:vMerge w:val="restart"/>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3216D19A" w14:textId="5A180A4C" w:rsidR="755DBF50" w:rsidRPr="00B55437" w:rsidRDefault="5DC79EE4" w:rsidP="755DBF50">
            <w:pPr>
              <w:jc w:val="center"/>
              <w:rPr>
                <w:rFonts w:ascii="Arial" w:hAnsi="Arial" w:cs="Arial"/>
              </w:rPr>
            </w:pPr>
            <w:r>
              <w:rPr>
                <w:rFonts w:ascii="Arial" w:hAnsi="Arial"/>
                <w:smallCaps/>
                <w:color w:val="FFFFFF" w:themeColor="background1"/>
              </w:rPr>
              <w:t xml:space="preserve"> case no.</w:t>
            </w:r>
          </w:p>
        </w:tc>
        <w:tc>
          <w:tcPr>
            <w:tcW w:w="7854" w:type="dxa"/>
            <w:gridSpan w:val="2"/>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1D04CB04" w14:textId="208F5C35" w:rsidR="755DBF50" w:rsidRPr="00B55437" w:rsidRDefault="755DBF50" w:rsidP="755DBF50">
            <w:pPr>
              <w:jc w:val="center"/>
              <w:rPr>
                <w:rFonts w:ascii="Arial" w:hAnsi="Arial" w:cs="Arial"/>
              </w:rPr>
            </w:pPr>
            <w:r>
              <w:rPr>
                <w:rFonts w:ascii="Arial" w:hAnsi="Arial"/>
                <w:smallCaps/>
                <w:color w:val="FFFFFF" w:themeColor="background1"/>
              </w:rPr>
              <w:t>functionality</w:t>
            </w:r>
          </w:p>
        </w:tc>
      </w:tr>
      <w:tr w:rsidR="755DBF50" w:rsidRPr="00B55437" w14:paraId="32507705" w14:textId="77777777" w:rsidTr="006B09C1">
        <w:trPr>
          <w:trHeight w:val="300"/>
        </w:trPr>
        <w:tc>
          <w:tcPr>
            <w:tcW w:w="1108" w:type="dxa"/>
            <w:vMerge/>
            <w:tcBorders>
              <w:left w:val="single" w:sz="0" w:space="0" w:color="auto"/>
              <w:bottom w:val="single" w:sz="0" w:space="0" w:color="auto"/>
              <w:right w:val="single" w:sz="0" w:space="0" w:color="auto"/>
            </w:tcBorders>
            <w:vAlign w:val="center"/>
          </w:tcPr>
          <w:p w14:paraId="2B3E202E" w14:textId="77777777" w:rsidR="00DF0D58" w:rsidRPr="00B55437" w:rsidRDefault="00DF0D58">
            <w:pPr>
              <w:rPr>
                <w:rFonts w:ascii="Arial" w:hAnsi="Arial" w:cs="Arial"/>
              </w:rPr>
            </w:pPr>
          </w:p>
        </w:tc>
        <w:tc>
          <w:tcPr>
            <w:tcW w:w="1441" w:type="dxa"/>
            <w:tcBorders>
              <w:top w:val="single" w:sz="8" w:space="0" w:color="auto"/>
              <w:left w:val="nil"/>
              <w:bottom w:val="single" w:sz="8" w:space="0" w:color="auto"/>
              <w:right w:val="single" w:sz="8" w:space="0" w:color="auto"/>
            </w:tcBorders>
            <w:shd w:val="clear" w:color="auto" w:fill="C00000"/>
            <w:tcMar>
              <w:left w:w="108" w:type="dxa"/>
              <w:right w:w="108" w:type="dxa"/>
            </w:tcMar>
            <w:vAlign w:val="center"/>
          </w:tcPr>
          <w:p w14:paraId="54487F8B" w14:textId="07047ED5" w:rsidR="755DBF50" w:rsidRPr="00B55437" w:rsidRDefault="755DBF50" w:rsidP="755DBF50">
            <w:pPr>
              <w:jc w:val="center"/>
              <w:rPr>
                <w:rFonts w:ascii="Arial" w:hAnsi="Arial" w:cs="Arial"/>
              </w:rPr>
            </w:pPr>
            <w:r>
              <w:rPr>
                <w:rFonts w:ascii="Arial" w:hAnsi="Arial"/>
                <w:smallCaps/>
                <w:color w:val="FFFFFF" w:themeColor="background1"/>
              </w:rPr>
              <w:t>letter symbols</w:t>
            </w:r>
          </w:p>
        </w:tc>
        <w:tc>
          <w:tcPr>
            <w:tcW w:w="6413" w:type="dxa"/>
            <w:tcBorders>
              <w:top w:val="nil"/>
              <w:left w:val="single" w:sz="8" w:space="0" w:color="auto"/>
              <w:bottom w:val="single" w:sz="8" w:space="0" w:color="auto"/>
              <w:right w:val="single" w:sz="8" w:space="0" w:color="auto"/>
            </w:tcBorders>
            <w:shd w:val="clear" w:color="auto" w:fill="C00000"/>
            <w:tcMar>
              <w:left w:w="108" w:type="dxa"/>
              <w:right w:w="108" w:type="dxa"/>
            </w:tcMar>
            <w:vAlign w:val="center"/>
          </w:tcPr>
          <w:p w14:paraId="0B5C9F4C" w14:textId="642E3B0E" w:rsidR="755DBF50" w:rsidRPr="00B55437" w:rsidRDefault="755DBF50" w:rsidP="755DBF50">
            <w:pPr>
              <w:jc w:val="center"/>
              <w:rPr>
                <w:rFonts w:ascii="Arial" w:hAnsi="Arial" w:cs="Arial"/>
              </w:rPr>
            </w:pPr>
            <w:r>
              <w:rPr>
                <w:rFonts w:ascii="Arial" w:hAnsi="Arial"/>
                <w:smallCaps/>
                <w:color w:val="FFFFFF" w:themeColor="background1"/>
              </w:rPr>
              <w:t>Name of the functionality</w:t>
            </w:r>
          </w:p>
        </w:tc>
      </w:tr>
      <w:tr w:rsidR="755DBF50" w:rsidRPr="00B55437" w14:paraId="1B00FFCE" w14:textId="77777777" w:rsidTr="006B09C1">
        <w:trPr>
          <w:trHeight w:val="420"/>
        </w:trPr>
        <w:tc>
          <w:tcPr>
            <w:tcW w:w="1108"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5FD12155" w14:textId="21C0B7BB" w:rsidR="755DBF50" w:rsidRPr="00B55437" w:rsidRDefault="00F57AED" w:rsidP="755DBF50">
            <w:pPr>
              <w:jc w:val="center"/>
              <w:rPr>
                <w:rFonts w:ascii="Arial" w:hAnsi="Arial" w:cs="Arial"/>
              </w:rPr>
            </w:pPr>
            <w:r>
              <w:rPr>
                <w:rFonts w:ascii="Arial" w:hAnsi="Arial"/>
                <w:i/>
                <w:smallCaps/>
                <w:color w:val="171717" w:themeColor="background2" w:themeShade="1A"/>
              </w:rPr>
              <w:t>07</w:t>
            </w:r>
          </w:p>
        </w:tc>
        <w:tc>
          <w:tcPr>
            <w:tcW w:w="1441"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EBC1A7" w14:textId="438A47F3" w:rsidR="755DBF50" w:rsidRPr="00B55437" w:rsidRDefault="755DBF50" w:rsidP="00707C3B">
            <w:pPr>
              <w:jc w:val="center"/>
              <w:rPr>
                <w:rFonts w:ascii="Arial" w:hAnsi="Arial" w:cs="Arial"/>
                <w:i/>
                <w:iCs/>
                <w:smallCaps/>
                <w:color w:val="171717" w:themeColor="background2" w:themeShade="1A"/>
              </w:rPr>
            </w:pPr>
            <w:proofErr w:type="spellStart"/>
            <w:r>
              <w:rPr>
                <w:rFonts w:ascii="Arial" w:hAnsi="Arial"/>
                <w:i/>
                <w:smallCaps/>
                <w:color w:val="171717" w:themeColor="background2" w:themeShade="1A"/>
              </w:rPr>
              <w:t>E8</w:t>
            </w:r>
            <w:proofErr w:type="spellEnd"/>
            <w:r>
              <w:rPr>
                <w:rFonts w:ascii="Arial" w:hAnsi="Arial"/>
                <w:i/>
                <w:smallCaps/>
                <w:color w:val="171717" w:themeColor="background2" w:themeShade="1A"/>
              </w:rPr>
              <w:t>,</w:t>
            </w:r>
            <w:r w:rsidR="00EE713B">
              <w:rPr>
                <w:rFonts w:ascii="Arial" w:hAnsi="Arial"/>
                <w:i/>
                <w:smallCaps/>
                <w:color w:val="171717" w:themeColor="background2" w:themeShade="1A"/>
              </w:rPr>
              <w:t xml:space="preserve"> </w:t>
            </w:r>
            <w:proofErr w:type="spellStart"/>
            <w:r>
              <w:rPr>
                <w:rFonts w:ascii="Arial" w:hAnsi="Arial"/>
                <w:i/>
                <w:smallCaps/>
                <w:color w:val="171717" w:themeColor="background2" w:themeShade="1A"/>
              </w:rPr>
              <w:t>E9</w:t>
            </w:r>
            <w:proofErr w:type="spellEnd"/>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62B4C339" w14:textId="1749E150" w:rsidR="755DBF50" w:rsidRPr="00B55437" w:rsidRDefault="755DBF50" w:rsidP="00707C3B">
            <w:pPr>
              <w:rPr>
                <w:rFonts w:ascii="Arial" w:hAnsi="Arial" w:cs="Arial"/>
                <w:i/>
                <w:iCs/>
                <w:smallCaps/>
                <w:color w:val="171717" w:themeColor="background2" w:themeShade="1A"/>
              </w:rPr>
            </w:pPr>
            <w:r>
              <w:rPr>
                <w:rFonts w:ascii="Arial" w:hAnsi="Arial"/>
                <w:i/>
                <w:smallCaps/>
                <w:color w:val="171717" w:themeColor="background2" w:themeShade="1A"/>
              </w:rPr>
              <w:t>Option to amend the rules for new scenarios/periods.</w:t>
            </w:r>
          </w:p>
          <w:p w14:paraId="02CDBD07" w14:textId="61E13B32" w:rsidR="755DBF50" w:rsidRPr="00B55437" w:rsidRDefault="755DBF50" w:rsidP="00707C3B">
            <w:pPr>
              <w:rPr>
                <w:rFonts w:ascii="Arial" w:hAnsi="Arial" w:cs="Arial"/>
                <w:i/>
                <w:iCs/>
                <w:smallCaps/>
                <w:color w:val="171717" w:themeColor="background2" w:themeShade="1A"/>
              </w:rPr>
            </w:pPr>
            <w:r>
              <w:rPr>
                <w:rFonts w:ascii="Arial" w:hAnsi="Arial"/>
                <w:i/>
                <w:smallCaps/>
                <w:color w:val="171717" w:themeColor="background2" w:themeShade="1A"/>
              </w:rPr>
              <w:t xml:space="preserve"> </w:t>
            </w:r>
          </w:p>
        </w:tc>
      </w:tr>
      <w:tr w:rsidR="755DBF50" w:rsidRPr="00B55437" w14:paraId="747843BA" w14:textId="77777777" w:rsidTr="006B09C1">
        <w:trPr>
          <w:trHeight w:val="420"/>
        </w:trPr>
        <w:tc>
          <w:tcPr>
            <w:tcW w:w="1108" w:type="dxa"/>
            <w:vMerge/>
            <w:tcBorders>
              <w:left w:val="single" w:sz="0" w:space="0" w:color="auto"/>
              <w:bottom w:val="single" w:sz="0" w:space="0" w:color="auto"/>
              <w:right w:val="single" w:sz="0" w:space="0" w:color="auto"/>
            </w:tcBorders>
            <w:vAlign w:val="center"/>
          </w:tcPr>
          <w:p w14:paraId="7ED164D5" w14:textId="77777777" w:rsidR="00DF0D58" w:rsidRPr="00B55437" w:rsidRDefault="00DF0D58">
            <w:pPr>
              <w:rPr>
                <w:rFonts w:ascii="Arial" w:hAnsi="Arial" w:cs="Arial"/>
              </w:rPr>
            </w:pPr>
          </w:p>
        </w:tc>
        <w:tc>
          <w:tcPr>
            <w:tcW w:w="1441" w:type="dxa"/>
            <w:vMerge/>
            <w:tcBorders>
              <w:top w:val="single" w:sz="0" w:space="0" w:color="auto"/>
              <w:left w:val="single" w:sz="0" w:space="0" w:color="auto"/>
              <w:bottom w:val="single" w:sz="0" w:space="0" w:color="auto"/>
              <w:right w:val="single" w:sz="0" w:space="0" w:color="auto"/>
            </w:tcBorders>
            <w:vAlign w:val="center"/>
          </w:tcPr>
          <w:p w14:paraId="6685465C" w14:textId="77777777" w:rsidR="00DF0D58" w:rsidRPr="00B55437" w:rsidRDefault="00DF0D58">
            <w:pPr>
              <w:rPr>
                <w:rFonts w:ascii="Arial" w:hAnsi="Arial" w:cs="Arial"/>
                <w:i/>
                <w:iCs/>
                <w:smallCaps/>
                <w:color w:val="171717" w:themeColor="background2" w:themeShade="1A"/>
              </w:rPr>
            </w:pPr>
          </w:p>
        </w:tc>
        <w:tc>
          <w:tcPr>
            <w:tcW w:w="6413" w:type="dxa"/>
            <w:tcBorders>
              <w:top w:val="single" w:sz="8" w:space="0" w:color="auto"/>
              <w:left w:val="nil"/>
              <w:bottom w:val="single" w:sz="8" w:space="0" w:color="auto"/>
              <w:right w:val="single" w:sz="8" w:space="0" w:color="auto"/>
            </w:tcBorders>
            <w:tcMar>
              <w:left w:w="108" w:type="dxa"/>
              <w:right w:w="108" w:type="dxa"/>
            </w:tcMar>
          </w:tcPr>
          <w:p w14:paraId="02D1601F" w14:textId="3F5011FF" w:rsidR="755DBF50" w:rsidRPr="00B55437" w:rsidRDefault="755DBF50" w:rsidP="755DBF50">
            <w:pPr>
              <w:rPr>
                <w:rFonts w:ascii="Arial" w:hAnsi="Arial" w:cs="Arial"/>
                <w:i/>
                <w:iCs/>
                <w:smallCaps/>
                <w:color w:val="171717" w:themeColor="background2" w:themeShade="1A"/>
              </w:rPr>
            </w:pPr>
            <w:r>
              <w:rPr>
                <w:rFonts w:ascii="Arial" w:hAnsi="Arial"/>
                <w:i/>
                <w:smallCaps/>
                <w:color w:val="171717" w:themeColor="background2" w:themeShade="1A"/>
              </w:rPr>
              <w:t>Option to change the group structure for new scenarios/periods.</w:t>
            </w:r>
          </w:p>
          <w:p w14:paraId="3A89175C" w14:textId="1394AA71" w:rsidR="755DBF50" w:rsidRPr="00B55437" w:rsidRDefault="755DBF50" w:rsidP="755DBF50">
            <w:pPr>
              <w:rPr>
                <w:rFonts w:ascii="Arial" w:hAnsi="Arial" w:cs="Arial"/>
                <w:i/>
                <w:iCs/>
                <w:smallCaps/>
                <w:color w:val="171717" w:themeColor="background2" w:themeShade="1A"/>
              </w:rPr>
            </w:pPr>
            <w:r>
              <w:rPr>
                <w:rFonts w:ascii="Arial" w:hAnsi="Arial"/>
                <w:i/>
                <w:smallCaps/>
                <w:color w:val="171717" w:themeColor="background2" w:themeShade="1A"/>
              </w:rPr>
              <w:t xml:space="preserve"> </w:t>
            </w:r>
          </w:p>
        </w:tc>
      </w:tr>
    </w:tbl>
    <w:p w14:paraId="119E32E0" w14:textId="4B39940B" w:rsidR="5DC79EE4" w:rsidRPr="00B55437" w:rsidRDefault="5DC79EE4" w:rsidP="755DBF50">
      <w:pPr>
        <w:spacing w:line="257" w:lineRule="auto"/>
        <w:rPr>
          <w:rFonts w:ascii="Arial" w:hAnsi="Arial" w:cs="Arial"/>
        </w:rPr>
      </w:pPr>
      <w:r>
        <w:rPr>
          <w:rFonts w:ascii="Arial" w:hAnsi="Arial"/>
          <w:i/>
          <w:smallCaps/>
          <w:color w:val="171717" w:themeColor="background2" w:themeShade="1A"/>
        </w:rPr>
        <w:t xml:space="preserve"> </w:t>
      </w:r>
    </w:p>
    <w:p w14:paraId="7E40EC0E" w14:textId="1598AB60" w:rsidR="5DC79EE4" w:rsidRPr="00B55437" w:rsidRDefault="5DC79EE4" w:rsidP="006B09C1">
      <w:pPr>
        <w:pStyle w:val="Nagwek1"/>
        <w:numPr>
          <w:ilvl w:val="1"/>
          <w:numId w:val="41"/>
        </w:numPr>
        <w:spacing w:before="0" w:after="120" w:line="240" w:lineRule="auto"/>
        <w:ind w:left="431" w:hanging="431"/>
        <w:rPr>
          <w:rFonts w:ascii="Arial" w:hAnsi="Arial" w:cs="Arial"/>
          <w:b/>
          <w:bCs/>
          <w:color w:val="auto"/>
          <w:sz w:val="22"/>
          <w:szCs w:val="22"/>
        </w:rPr>
      </w:pPr>
      <w:bookmarkStart w:id="24" w:name="_Toc402910940"/>
      <w:r w:rsidRPr="6941ADB9">
        <w:rPr>
          <w:rFonts w:ascii="Arial" w:hAnsi="Arial"/>
          <w:b/>
          <w:bCs/>
          <w:color w:val="auto"/>
          <w:sz w:val="22"/>
          <w:szCs w:val="22"/>
        </w:rPr>
        <w:t>Use case description</w:t>
      </w:r>
      <w:bookmarkEnd w:id="24"/>
      <w:r w:rsidRPr="6941ADB9">
        <w:rPr>
          <w:rFonts w:ascii="Arial" w:hAnsi="Arial"/>
          <w:b/>
          <w:bCs/>
          <w:color w:val="auto"/>
          <w:sz w:val="22"/>
          <w:szCs w:val="22"/>
        </w:rPr>
        <w:t xml:space="preserve"> </w:t>
      </w:r>
    </w:p>
    <w:p w14:paraId="3B271B39" w14:textId="40EC94D8" w:rsidR="03920A86" w:rsidRPr="00B55437" w:rsidRDefault="03920A86" w:rsidP="006B09C1">
      <w:pPr>
        <w:spacing w:line="257" w:lineRule="auto"/>
        <w:rPr>
          <w:rFonts w:ascii="Arial" w:eastAsia="Aptos" w:hAnsi="Arial" w:cs="Arial"/>
        </w:rPr>
      </w:pPr>
      <w:r>
        <w:rPr>
          <w:rFonts w:ascii="Arial" w:hAnsi="Arial"/>
        </w:rPr>
        <w:t xml:space="preserve">The aim of this use case is to verify the functionality of the </w:t>
      </w:r>
      <w:proofErr w:type="spellStart"/>
      <w:r>
        <w:rPr>
          <w:rFonts w:ascii="Arial" w:hAnsi="Arial"/>
        </w:rPr>
        <w:t>EPM</w:t>
      </w:r>
      <w:proofErr w:type="spellEnd"/>
      <w:r>
        <w:rPr>
          <w:rFonts w:ascii="Arial" w:hAnsi="Arial"/>
        </w:rPr>
        <w:t xml:space="preserve"> (Enterprise Performance Management) system as regards the flexible management of changes to calculation rules for new scenarios/periods. </w:t>
      </w:r>
    </w:p>
    <w:p w14:paraId="7A293738" w14:textId="2A6CF02A" w:rsidR="5DC79EE4" w:rsidRPr="00B55437" w:rsidRDefault="5DC79EE4" w:rsidP="13EFAC6D">
      <w:pPr>
        <w:spacing w:line="276" w:lineRule="auto"/>
        <w:rPr>
          <w:rFonts w:ascii="Arial" w:eastAsia="Aptos" w:hAnsi="Arial" w:cs="Arial"/>
        </w:rPr>
      </w:pPr>
      <w:r>
        <w:rPr>
          <w:rFonts w:ascii="Arial" w:hAnsi="Arial"/>
        </w:rPr>
        <w:t xml:space="preserve">The company needs to consider various business scenarios for different time periods, including changes to the plan for the various products sold by the Group. In addition, we assume that the Company anticipates changes to the Group’s structure between year n and year </w:t>
      </w:r>
      <w:proofErr w:type="spellStart"/>
      <w:r>
        <w:rPr>
          <w:rFonts w:ascii="Arial" w:hAnsi="Arial"/>
        </w:rPr>
        <w:t>n+1</w:t>
      </w:r>
      <w:proofErr w:type="spellEnd"/>
      <w:r>
        <w:rPr>
          <w:rFonts w:ascii="Arial" w:hAnsi="Arial"/>
        </w:rPr>
        <w:t xml:space="preserve">, for example, the merger of several companies.  </w:t>
      </w:r>
    </w:p>
    <w:p w14:paraId="20F5B556" w14:textId="24C67C01" w:rsidR="5DC79EE4" w:rsidRPr="00B55437" w:rsidRDefault="5DC79EE4" w:rsidP="13EFAC6D">
      <w:pPr>
        <w:spacing w:line="276" w:lineRule="auto"/>
        <w:rPr>
          <w:rFonts w:ascii="Arial" w:eastAsia="Aptos" w:hAnsi="Arial" w:cs="Arial"/>
        </w:rPr>
      </w:pPr>
      <w:r>
        <w:rPr>
          <w:rFonts w:ascii="Arial" w:hAnsi="Arial"/>
        </w:rPr>
        <w:t>In view of the above, it is necessary to amend the rules for calculating product revenue and costs, and also to incorporate changes to the organisational structure.</w:t>
      </w:r>
    </w:p>
    <w:p w14:paraId="4EA16085" w14:textId="5CAE4B14" w:rsidR="03920A86" w:rsidRPr="00B55437" w:rsidRDefault="03920A86" w:rsidP="002576FC">
      <w:pPr>
        <w:pStyle w:val="Akapitzlist"/>
        <w:numPr>
          <w:ilvl w:val="0"/>
          <w:numId w:val="45"/>
        </w:numPr>
        <w:spacing w:after="120" w:line="276" w:lineRule="auto"/>
        <w:ind w:left="714" w:hanging="357"/>
        <w:contextualSpacing w:val="0"/>
        <w:rPr>
          <w:rFonts w:ascii="Arial" w:eastAsia="Aptos" w:hAnsi="Arial" w:cs="Arial"/>
        </w:rPr>
      </w:pPr>
      <w:r>
        <w:rPr>
          <w:rFonts w:ascii="Arial" w:hAnsi="Arial"/>
        </w:rPr>
        <w:t>Revenue in the plan is calculated using a selected base algorithm (e.g. volume × (quote + margin)). Provide the breakdown of revenue by product for each of the following scenarios:</w:t>
      </w:r>
    </w:p>
    <w:p w14:paraId="4C1B32BA" w14:textId="5D329700" w:rsidR="03920A86" w:rsidRPr="00B55437" w:rsidRDefault="03920A86" w:rsidP="002576FC">
      <w:pPr>
        <w:pStyle w:val="Akapitzlist"/>
        <w:numPr>
          <w:ilvl w:val="1"/>
          <w:numId w:val="9"/>
        </w:numPr>
        <w:rPr>
          <w:rFonts w:ascii="Arial" w:hAnsi="Arial" w:cs="Arial"/>
        </w:rPr>
      </w:pPr>
      <w:r>
        <w:rPr>
          <w:rFonts w:ascii="Arial" w:hAnsi="Arial"/>
        </w:rPr>
        <w:t xml:space="preserve">The plan for year n includes monthly figures </w:t>
      </w:r>
    </w:p>
    <w:p w14:paraId="2EA3E0B6" w14:textId="69DA82E7" w:rsidR="03920A86" w:rsidRPr="00B55437" w:rsidRDefault="03920A86" w:rsidP="002576FC">
      <w:pPr>
        <w:pStyle w:val="Akapitzlist"/>
        <w:numPr>
          <w:ilvl w:val="1"/>
          <w:numId w:val="9"/>
        </w:numPr>
        <w:rPr>
          <w:rFonts w:ascii="Arial" w:hAnsi="Arial" w:cs="Arial"/>
        </w:rPr>
      </w:pPr>
      <w:r>
        <w:rPr>
          <w:rFonts w:ascii="Arial" w:hAnsi="Arial"/>
        </w:rPr>
        <w:t xml:space="preserve">The plan for year </w:t>
      </w:r>
      <w:proofErr w:type="spellStart"/>
      <w:r>
        <w:rPr>
          <w:rFonts w:ascii="Arial" w:hAnsi="Arial"/>
        </w:rPr>
        <w:t>n+1</w:t>
      </w:r>
      <w:proofErr w:type="spellEnd"/>
      <w:r>
        <w:rPr>
          <w:rFonts w:ascii="Arial" w:hAnsi="Arial"/>
        </w:rPr>
        <w:t xml:space="preserve"> contains quarterly figures</w:t>
      </w:r>
    </w:p>
    <w:p w14:paraId="1E82E898" w14:textId="032EF4F8" w:rsidR="03920A86" w:rsidRPr="00B55437" w:rsidRDefault="03920A86" w:rsidP="002576FC">
      <w:pPr>
        <w:pStyle w:val="Akapitzlist"/>
        <w:numPr>
          <w:ilvl w:val="1"/>
          <w:numId w:val="9"/>
        </w:numPr>
        <w:rPr>
          <w:rFonts w:ascii="Arial" w:hAnsi="Arial" w:cs="Arial"/>
        </w:rPr>
      </w:pPr>
      <w:r>
        <w:rPr>
          <w:rFonts w:ascii="Arial" w:hAnsi="Arial"/>
        </w:rPr>
        <w:t xml:space="preserve">The plan for year </w:t>
      </w:r>
      <w:proofErr w:type="spellStart"/>
      <w:r>
        <w:rPr>
          <w:rFonts w:ascii="Arial" w:hAnsi="Arial"/>
        </w:rPr>
        <w:t>n+2</w:t>
      </w:r>
      <w:proofErr w:type="spellEnd"/>
      <w:r>
        <w:rPr>
          <w:rFonts w:ascii="Arial" w:hAnsi="Arial"/>
        </w:rPr>
        <w:t xml:space="preserve"> contains annual figures</w:t>
      </w:r>
    </w:p>
    <w:p w14:paraId="4320EB4C" w14:textId="77777777" w:rsidR="00B47CCB" w:rsidRDefault="00B47CCB">
      <w:pPr>
        <w:spacing w:line="276" w:lineRule="auto"/>
        <w:ind w:left="720"/>
      </w:pPr>
      <w:r>
        <w:rPr>
          <w:rFonts w:ascii="Arial" w:hAnsi="Arial"/>
        </w:rPr>
        <w:t>It is important to illustrate the user’s perspective – how they view successive periods and how they populate the base data – as well as the administrator’s perspective – how to configure the system for the aforementioned structure (e.g. making periods available or blocking them, enabling or disabling validation, etc.).</w:t>
      </w:r>
    </w:p>
    <w:p w14:paraId="6683E680" w14:textId="0FC1D3B5" w:rsidR="03920A86" w:rsidRPr="00B55437" w:rsidRDefault="03920A86" w:rsidP="00743121">
      <w:pPr>
        <w:pStyle w:val="Akapitzlist"/>
        <w:numPr>
          <w:ilvl w:val="0"/>
          <w:numId w:val="45"/>
        </w:numPr>
        <w:spacing w:after="120" w:line="276" w:lineRule="auto"/>
        <w:ind w:left="714" w:hanging="357"/>
        <w:contextualSpacing w:val="0"/>
        <w:rPr>
          <w:rFonts w:ascii="Arial" w:eastAsia="Aptos" w:hAnsi="Arial" w:cs="Arial"/>
        </w:rPr>
      </w:pPr>
      <w:r>
        <w:rPr>
          <w:rFonts w:ascii="Arial" w:hAnsi="Arial"/>
        </w:rPr>
        <w:t xml:space="preserve">In year n, Company A is a subsidiary consolidated using the full consolidation method; in year </w:t>
      </w:r>
      <w:proofErr w:type="spellStart"/>
      <w:r>
        <w:rPr>
          <w:rFonts w:ascii="Arial" w:hAnsi="Arial"/>
        </w:rPr>
        <w:t>n+1</w:t>
      </w:r>
      <w:proofErr w:type="spellEnd"/>
      <w:r>
        <w:rPr>
          <w:rFonts w:ascii="Arial" w:hAnsi="Arial"/>
        </w:rPr>
        <w:t xml:space="preserve">, it becomes the parent company of a newly formed group, which is consolidated using the full consolidation method. </w:t>
      </w:r>
    </w:p>
    <w:tbl>
      <w:tblPr>
        <w:tblW w:w="0" w:type="auto"/>
        <w:tblInd w:w="70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970"/>
        <w:gridCol w:w="3484"/>
      </w:tblGrid>
      <w:tr w:rsidR="13EFAC6D" w:rsidRPr="00B55437" w14:paraId="1D7EFCF7"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4623B3D6" w14:textId="59672BF0" w:rsidR="13EFAC6D" w:rsidRPr="00B55437" w:rsidRDefault="13EFAC6D" w:rsidP="00743121">
            <w:pPr>
              <w:spacing w:line="276" w:lineRule="auto"/>
              <w:jc w:val="center"/>
              <w:rPr>
                <w:rFonts w:ascii="Arial" w:hAnsi="Arial" w:cs="Arial"/>
              </w:rPr>
            </w:pPr>
            <w:r>
              <w:rPr>
                <w:rFonts w:ascii="Arial" w:hAnsi="Arial"/>
                <w:b/>
              </w:rPr>
              <w:t>Year n</w:t>
            </w:r>
          </w:p>
        </w:tc>
        <w:tc>
          <w:tcPr>
            <w:tcW w:w="3484" w:type="dxa"/>
            <w:tcBorders>
              <w:top w:val="single" w:sz="8" w:space="0" w:color="auto"/>
              <w:left w:val="single" w:sz="8" w:space="0" w:color="auto"/>
              <w:bottom w:val="single" w:sz="8" w:space="0" w:color="auto"/>
              <w:right w:val="single" w:sz="8" w:space="0" w:color="auto"/>
            </w:tcBorders>
            <w:vAlign w:val="bottom"/>
          </w:tcPr>
          <w:p w14:paraId="2F529575" w14:textId="660D72B9" w:rsidR="13EFAC6D" w:rsidRPr="00B55437" w:rsidRDefault="13EFAC6D" w:rsidP="00743121">
            <w:pPr>
              <w:spacing w:line="276" w:lineRule="auto"/>
              <w:jc w:val="center"/>
              <w:rPr>
                <w:rFonts w:ascii="Arial" w:hAnsi="Arial" w:cs="Arial"/>
              </w:rPr>
            </w:pPr>
            <w:r>
              <w:rPr>
                <w:rFonts w:ascii="Arial" w:hAnsi="Arial"/>
                <w:b/>
              </w:rPr>
              <w:t xml:space="preserve">Year </w:t>
            </w:r>
            <w:proofErr w:type="spellStart"/>
            <w:r>
              <w:rPr>
                <w:rFonts w:ascii="Arial" w:hAnsi="Arial"/>
                <w:b/>
              </w:rPr>
              <w:t>n+1</w:t>
            </w:r>
            <w:proofErr w:type="spellEnd"/>
          </w:p>
        </w:tc>
      </w:tr>
      <w:tr w:rsidR="13EFAC6D" w:rsidRPr="00B55437" w14:paraId="4C404881"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781D8CD3" w14:textId="2CF70990" w:rsidR="13EFAC6D" w:rsidRPr="00B55437" w:rsidRDefault="13EFAC6D" w:rsidP="00743121">
            <w:pPr>
              <w:spacing w:line="276" w:lineRule="auto"/>
              <w:jc w:val="center"/>
              <w:rPr>
                <w:rFonts w:ascii="Arial" w:hAnsi="Arial" w:cs="Arial"/>
              </w:rPr>
            </w:pPr>
            <w:r>
              <w:rPr>
                <w:rFonts w:ascii="Arial" w:hAnsi="Arial"/>
              </w:rPr>
              <w:t>Group</w:t>
            </w:r>
          </w:p>
        </w:tc>
        <w:tc>
          <w:tcPr>
            <w:tcW w:w="3484" w:type="dxa"/>
            <w:tcBorders>
              <w:top w:val="single" w:sz="8" w:space="0" w:color="auto"/>
              <w:left w:val="single" w:sz="8" w:space="0" w:color="auto"/>
              <w:bottom w:val="single" w:sz="8" w:space="0" w:color="auto"/>
              <w:right w:val="single" w:sz="8" w:space="0" w:color="auto"/>
            </w:tcBorders>
            <w:vAlign w:val="bottom"/>
          </w:tcPr>
          <w:p w14:paraId="361E5087" w14:textId="1C369170" w:rsidR="13EFAC6D" w:rsidRPr="00B55437" w:rsidRDefault="13EFAC6D" w:rsidP="00743121">
            <w:pPr>
              <w:spacing w:line="276" w:lineRule="auto"/>
              <w:jc w:val="center"/>
              <w:rPr>
                <w:rFonts w:ascii="Arial" w:hAnsi="Arial" w:cs="Arial"/>
              </w:rPr>
            </w:pPr>
            <w:r>
              <w:rPr>
                <w:rFonts w:ascii="Arial" w:hAnsi="Arial"/>
              </w:rPr>
              <w:t>Group</w:t>
            </w:r>
          </w:p>
        </w:tc>
      </w:tr>
      <w:tr w:rsidR="13EFAC6D" w:rsidRPr="00B55437" w14:paraId="0A039B87"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154F08F9" w14:textId="745DDEB2" w:rsidR="13EFAC6D" w:rsidRPr="00B55437" w:rsidRDefault="13EFAC6D" w:rsidP="00743121">
            <w:pPr>
              <w:spacing w:line="276" w:lineRule="auto"/>
              <w:jc w:val="center"/>
              <w:rPr>
                <w:rFonts w:ascii="Arial" w:hAnsi="Arial" w:cs="Arial"/>
              </w:rPr>
            </w:pPr>
            <w:r>
              <w:rPr>
                <w:rFonts w:ascii="Arial" w:hAnsi="Arial"/>
              </w:rPr>
              <w:t>- parent company</w:t>
            </w:r>
          </w:p>
        </w:tc>
        <w:tc>
          <w:tcPr>
            <w:tcW w:w="3484" w:type="dxa"/>
            <w:tcBorders>
              <w:top w:val="single" w:sz="8" w:space="0" w:color="auto"/>
              <w:left w:val="single" w:sz="8" w:space="0" w:color="auto"/>
              <w:bottom w:val="single" w:sz="8" w:space="0" w:color="auto"/>
              <w:right w:val="single" w:sz="8" w:space="0" w:color="auto"/>
            </w:tcBorders>
            <w:vAlign w:val="bottom"/>
          </w:tcPr>
          <w:p w14:paraId="40354777" w14:textId="24B98E70" w:rsidR="13EFAC6D" w:rsidRPr="00B55437" w:rsidRDefault="13EFAC6D" w:rsidP="00743121">
            <w:pPr>
              <w:spacing w:line="276" w:lineRule="auto"/>
              <w:jc w:val="center"/>
              <w:rPr>
                <w:rFonts w:ascii="Arial" w:hAnsi="Arial" w:cs="Arial"/>
              </w:rPr>
            </w:pPr>
            <w:r>
              <w:rPr>
                <w:rFonts w:ascii="Arial" w:hAnsi="Arial"/>
              </w:rPr>
              <w:t>- parent company</w:t>
            </w:r>
          </w:p>
        </w:tc>
      </w:tr>
      <w:tr w:rsidR="13EFAC6D" w:rsidRPr="00B55437" w14:paraId="62F10C8D"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3EA275E3" w14:textId="1D162BA5" w:rsidR="13EFAC6D" w:rsidRPr="00B55437" w:rsidRDefault="13EFAC6D" w:rsidP="00743121">
            <w:pPr>
              <w:spacing w:line="276" w:lineRule="auto"/>
              <w:jc w:val="center"/>
              <w:rPr>
                <w:rFonts w:ascii="Arial" w:hAnsi="Arial" w:cs="Arial"/>
              </w:rPr>
            </w:pPr>
            <w:r>
              <w:rPr>
                <w:rFonts w:ascii="Arial" w:hAnsi="Arial"/>
              </w:rPr>
              <w:t>- Company A</w:t>
            </w:r>
          </w:p>
        </w:tc>
        <w:tc>
          <w:tcPr>
            <w:tcW w:w="3484" w:type="dxa"/>
            <w:tcBorders>
              <w:top w:val="single" w:sz="8" w:space="0" w:color="auto"/>
              <w:left w:val="single" w:sz="8" w:space="0" w:color="auto"/>
              <w:bottom w:val="single" w:sz="8" w:space="0" w:color="auto"/>
              <w:right w:val="single" w:sz="8" w:space="0" w:color="auto"/>
            </w:tcBorders>
            <w:vAlign w:val="bottom"/>
          </w:tcPr>
          <w:p w14:paraId="7C3D0AC2" w14:textId="50E76113" w:rsidR="13EFAC6D" w:rsidRPr="00B55437" w:rsidRDefault="13EFAC6D" w:rsidP="00743121">
            <w:pPr>
              <w:spacing w:line="276" w:lineRule="auto"/>
              <w:jc w:val="center"/>
              <w:rPr>
                <w:rFonts w:ascii="Arial" w:hAnsi="Arial" w:cs="Arial"/>
              </w:rPr>
            </w:pPr>
            <w:r>
              <w:rPr>
                <w:rFonts w:ascii="Arial" w:hAnsi="Arial"/>
              </w:rPr>
              <w:t>- Company A’s New Group</w:t>
            </w:r>
          </w:p>
        </w:tc>
      </w:tr>
      <w:tr w:rsidR="13EFAC6D" w:rsidRPr="00B55437" w14:paraId="32933ED3"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57A224C7" w14:textId="63FE7A27" w:rsidR="13EFAC6D" w:rsidRPr="00B55437" w:rsidRDefault="13EFAC6D" w:rsidP="13EFAC6D">
            <w:pPr>
              <w:spacing w:line="276" w:lineRule="auto"/>
              <w:rPr>
                <w:rFonts w:ascii="Arial" w:hAnsi="Arial" w:cs="Arial"/>
              </w:rPr>
            </w:pPr>
            <w:r>
              <w:rPr>
                <w:rFonts w:ascii="Arial" w:hAnsi="Arial"/>
              </w:rPr>
              <w:t xml:space="preserve">  </w:t>
            </w:r>
          </w:p>
        </w:tc>
        <w:tc>
          <w:tcPr>
            <w:tcW w:w="3484" w:type="dxa"/>
            <w:tcBorders>
              <w:top w:val="single" w:sz="8" w:space="0" w:color="auto"/>
              <w:left w:val="single" w:sz="8" w:space="0" w:color="auto"/>
              <w:bottom w:val="single" w:sz="8" w:space="0" w:color="auto"/>
              <w:right w:val="single" w:sz="8" w:space="0" w:color="auto"/>
            </w:tcBorders>
            <w:vAlign w:val="bottom"/>
          </w:tcPr>
          <w:p w14:paraId="4CC3D26C" w14:textId="5C1A81F3" w:rsidR="13EFAC6D" w:rsidRPr="00B55437" w:rsidRDefault="13EFAC6D" w:rsidP="13EFAC6D">
            <w:pPr>
              <w:spacing w:line="276" w:lineRule="auto"/>
              <w:rPr>
                <w:rFonts w:ascii="Arial" w:hAnsi="Arial" w:cs="Arial"/>
              </w:rPr>
            </w:pPr>
            <w:r>
              <w:rPr>
                <w:rFonts w:ascii="Arial" w:hAnsi="Arial"/>
              </w:rPr>
              <w:t xml:space="preserve">    - Company B </w:t>
            </w:r>
          </w:p>
        </w:tc>
      </w:tr>
      <w:tr w:rsidR="13EFAC6D" w:rsidRPr="00B55437" w14:paraId="21146E9E"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17E3AB76" w14:textId="31CBEFB1" w:rsidR="13EFAC6D" w:rsidRPr="00B55437" w:rsidRDefault="13EFAC6D" w:rsidP="13EFAC6D">
            <w:pPr>
              <w:spacing w:line="276" w:lineRule="auto"/>
              <w:rPr>
                <w:rFonts w:ascii="Arial" w:hAnsi="Arial" w:cs="Arial"/>
              </w:rPr>
            </w:pPr>
            <w:r>
              <w:rPr>
                <w:rFonts w:ascii="Arial" w:hAnsi="Arial"/>
              </w:rPr>
              <w:t xml:space="preserve">  </w:t>
            </w:r>
          </w:p>
        </w:tc>
        <w:tc>
          <w:tcPr>
            <w:tcW w:w="3484" w:type="dxa"/>
            <w:tcBorders>
              <w:top w:val="single" w:sz="8" w:space="0" w:color="auto"/>
              <w:left w:val="single" w:sz="8" w:space="0" w:color="auto"/>
              <w:bottom w:val="single" w:sz="8" w:space="0" w:color="auto"/>
              <w:right w:val="single" w:sz="8" w:space="0" w:color="auto"/>
            </w:tcBorders>
            <w:vAlign w:val="bottom"/>
          </w:tcPr>
          <w:p w14:paraId="6F3FB789" w14:textId="1FC4ECF5" w:rsidR="13EFAC6D" w:rsidRPr="00B55437" w:rsidRDefault="13EFAC6D" w:rsidP="13EFAC6D">
            <w:pPr>
              <w:spacing w:line="276" w:lineRule="auto"/>
              <w:rPr>
                <w:rFonts w:ascii="Arial" w:hAnsi="Arial" w:cs="Arial"/>
              </w:rPr>
            </w:pPr>
            <w:r>
              <w:rPr>
                <w:rFonts w:ascii="Arial" w:hAnsi="Arial"/>
              </w:rPr>
              <w:t xml:space="preserve">    - Company C </w:t>
            </w:r>
          </w:p>
        </w:tc>
      </w:tr>
    </w:tbl>
    <w:p w14:paraId="395A8CEC" w14:textId="7C0986BB" w:rsidR="7D8865B2" w:rsidRPr="00B55437" w:rsidRDefault="7D8865B2" w:rsidP="13EFAC6D">
      <w:pPr>
        <w:spacing w:line="276" w:lineRule="auto"/>
        <w:rPr>
          <w:rFonts w:ascii="Arial" w:hAnsi="Arial" w:cs="Arial"/>
        </w:rPr>
      </w:pPr>
      <w:r>
        <w:rPr>
          <w:rFonts w:ascii="Arial" w:hAnsi="Arial"/>
        </w:rPr>
        <w:t xml:space="preserve">  </w:t>
      </w:r>
    </w:p>
    <w:p w14:paraId="6FDEC2E6" w14:textId="77777777" w:rsidR="00B47CCB" w:rsidRDefault="00B47CCB">
      <w:pPr>
        <w:spacing w:line="276" w:lineRule="auto"/>
        <w:ind w:left="720"/>
      </w:pPr>
      <w:r>
        <w:rPr>
          <w:rFonts w:ascii="Arial" w:hAnsi="Arial"/>
        </w:rPr>
        <w:lastRenderedPageBreak/>
        <w:t xml:space="preserve">Demonstrate how the Group’s structure has been adjusted, as well as the implications of this change for viewing data at various levels of consolidation (underlying data, eliminations, contribution to consolidation). It must be demonstrated that the changes to the structure introduced in the </w:t>
      </w:r>
      <w:proofErr w:type="spellStart"/>
      <w:r>
        <w:rPr>
          <w:rFonts w:ascii="Arial" w:hAnsi="Arial"/>
        </w:rPr>
        <w:t>n+1</w:t>
      </w:r>
      <w:proofErr w:type="spellEnd"/>
      <w:r>
        <w:rPr>
          <w:rFonts w:ascii="Arial" w:hAnsi="Arial"/>
        </w:rPr>
        <w:t xml:space="preserve"> plan will not affect the planning periods of the n-2 and n-1 plans (i.e. they will not alter the consolidation of Company A, which was not the parent company of its group in those years).</w:t>
      </w:r>
    </w:p>
    <w:p w14:paraId="69A90688" w14:textId="77777777" w:rsidR="0086349C" w:rsidRPr="00B55437" w:rsidRDefault="5DC79EE4" w:rsidP="0086349C">
      <w:pPr>
        <w:pStyle w:val="Nagwek1"/>
        <w:spacing w:before="0" w:after="0" w:line="240" w:lineRule="auto"/>
        <w:rPr>
          <w:rFonts w:ascii="Arial" w:hAnsi="Arial" w:cs="Arial"/>
          <w:b/>
          <w:bCs/>
          <w:color w:val="auto"/>
          <w:sz w:val="22"/>
          <w:szCs w:val="22"/>
          <w:highlight w:val="yellow"/>
        </w:rPr>
      </w:pPr>
      <w:r w:rsidRPr="6941ADB9">
        <w:rPr>
          <w:rFonts w:ascii="Arial" w:hAnsi="Arial"/>
          <w:b/>
          <w:bCs/>
          <w:color w:val="auto"/>
          <w:sz w:val="22"/>
          <w:szCs w:val="22"/>
          <w:highlight w:val="yellow"/>
        </w:rPr>
        <w:t xml:space="preserve"> </w:t>
      </w:r>
    </w:p>
    <w:p w14:paraId="1F13FBCB" w14:textId="77777777" w:rsidR="0086349C" w:rsidRPr="00B55437" w:rsidRDefault="0086349C">
      <w:pPr>
        <w:jc w:val="left"/>
        <w:rPr>
          <w:rFonts w:ascii="Arial" w:eastAsiaTheme="majorEastAsia" w:hAnsi="Arial" w:cs="Arial"/>
          <w:b/>
          <w:bCs/>
          <w:highlight w:val="yellow"/>
        </w:rPr>
      </w:pPr>
      <w:r w:rsidRPr="00B55437">
        <w:rPr>
          <w:rFonts w:ascii="Arial" w:hAnsi="Arial"/>
          <w:b/>
          <w:bCs/>
          <w:highlight w:val="yellow"/>
        </w:rPr>
        <w:br w:type="page"/>
      </w:r>
    </w:p>
    <w:p w14:paraId="5F982AA0" w14:textId="65FA371A" w:rsidR="5DC79EE4" w:rsidRPr="00B55437" w:rsidRDefault="00D93736" w:rsidP="001470A1">
      <w:pPr>
        <w:pStyle w:val="Nagwek1"/>
        <w:numPr>
          <w:ilvl w:val="0"/>
          <w:numId w:val="41"/>
        </w:numPr>
        <w:spacing w:before="0" w:after="0" w:line="240" w:lineRule="auto"/>
        <w:rPr>
          <w:rFonts w:ascii="Arial" w:hAnsi="Arial" w:cs="Arial"/>
          <w:b/>
          <w:bCs/>
          <w:color w:val="auto"/>
          <w:sz w:val="22"/>
          <w:szCs w:val="22"/>
        </w:rPr>
      </w:pPr>
      <w:bookmarkStart w:id="25" w:name="_Toc1255995001"/>
      <w:r w:rsidRPr="6941ADB9">
        <w:rPr>
          <w:rFonts w:ascii="Arial" w:hAnsi="Arial"/>
          <w:b/>
          <w:bCs/>
          <w:color w:val="auto"/>
          <w:sz w:val="22"/>
          <w:szCs w:val="22"/>
        </w:rPr>
        <w:lastRenderedPageBreak/>
        <w:t xml:space="preserve">Use case 08: </w:t>
      </w:r>
      <w:bookmarkStart w:id="26" w:name="_Hlk235709523"/>
      <w:r w:rsidRPr="6941ADB9">
        <w:rPr>
          <w:rFonts w:ascii="Arial" w:hAnsi="Arial"/>
          <w:b/>
          <w:bCs/>
          <w:color w:val="auto"/>
          <w:sz w:val="22"/>
          <w:szCs w:val="22"/>
        </w:rPr>
        <w:t>analysis of financial results, trends and variances</w:t>
      </w:r>
      <w:bookmarkEnd w:id="25"/>
    </w:p>
    <w:bookmarkEnd w:id="26"/>
    <w:p w14:paraId="70DA38D1" w14:textId="236592F3" w:rsidR="5DC79EE4" w:rsidRPr="00B55437" w:rsidRDefault="5DC79EE4" w:rsidP="755DBF50">
      <w:pPr>
        <w:spacing w:line="257" w:lineRule="auto"/>
        <w:rPr>
          <w:rFonts w:ascii="Arial" w:hAnsi="Arial" w:cs="Arial"/>
        </w:rPr>
      </w:pPr>
      <w:r>
        <w:rPr>
          <w:rFonts w:ascii="Arial" w:hAnsi="Arial"/>
        </w:rPr>
        <w:t xml:space="preserve"> </w:t>
      </w:r>
    </w:p>
    <w:p w14:paraId="1CF10086" w14:textId="27F52236" w:rsidR="5DC79EE4" w:rsidRPr="00B55437" w:rsidRDefault="5DC79EE4" w:rsidP="001470A1">
      <w:pPr>
        <w:pStyle w:val="Nagwek1"/>
        <w:numPr>
          <w:ilvl w:val="1"/>
          <w:numId w:val="41"/>
        </w:numPr>
        <w:spacing w:before="0" w:after="0" w:line="240" w:lineRule="auto"/>
        <w:rPr>
          <w:rFonts w:ascii="Arial" w:hAnsi="Arial" w:cs="Arial"/>
          <w:b/>
          <w:bCs/>
          <w:color w:val="auto"/>
          <w:sz w:val="22"/>
          <w:szCs w:val="22"/>
        </w:rPr>
      </w:pPr>
      <w:bookmarkStart w:id="27" w:name="_Toc1255413049"/>
      <w:r w:rsidRPr="6941ADB9">
        <w:rPr>
          <w:rFonts w:ascii="Arial" w:hAnsi="Arial"/>
          <w:b/>
          <w:bCs/>
          <w:color w:val="auto"/>
          <w:sz w:val="22"/>
          <w:szCs w:val="22"/>
        </w:rPr>
        <w:t>Use case specification</w:t>
      </w:r>
      <w:bookmarkEnd w:id="27"/>
      <w:r w:rsidRPr="6941ADB9">
        <w:rPr>
          <w:rFonts w:ascii="Arial" w:hAnsi="Arial"/>
          <w:b/>
          <w:bCs/>
          <w:color w:val="auto"/>
          <w:sz w:val="22"/>
          <w:szCs w:val="22"/>
        </w:rPr>
        <w:t xml:space="preserve"> </w:t>
      </w:r>
    </w:p>
    <w:p w14:paraId="4914B83D" w14:textId="02114E43" w:rsidR="5DC79EE4" w:rsidRPr="00B55437" w:rsidRDefault="5DC79EE4" w:rsidP="755DBF50">
      <w:pPr>
        <w:spacing w:line="257" w:lineRule="auto"/>
        <w:rPr>
          <w:rFonts w:ascii="Arial" w:hAnsi="Arial" w:cs="Arial"/>
        </w:rPr>
      </w:pPr>
      <w:r>
        <w:rPr>
          <w:rFonts w:ascii="Arial" w:hAnsi="Arial"/>
        </w:rPr>
        <w:t xml:space="preserve"> </w:t>
      </w:r>
    </w:p>
    <w:tbl>
      <w:tblPr>
        <w:tblStyle w:val="Tabela-Siatka"/>
        <w:tblW w:w="0" w:type="auto"/>
        <w:tblInd w:w="90" w:type="dxa"/>
        <w:tblLook w:val="04A0" w:firstRow="1" w:lastRow="0" w:firstColumn="1" w:lastColumn="0" w:noHBand="0" w:noVBand="1"/>
      </w:tblPr>
      <w:tblGrid>
        <w:gridCol w:w="1036"/>
        <w:gridCol w:w="1420"/>
        <w:gridCol w:w="5876"/>
      </w:tblGrid>
      <w:tr w:rsidR="755DBF50" w:rsidRPr="00B55437" w14:paraId="0383963F" w14:textId="77777777" w:rsidTr="036317F7">
        <w:trPr>
          <w:trHeight w:val="300"/>
        </w:trPr>
        <w:tc>
          <w:tcPr>
            <w:tcW w:w="1036" w:type="dxa"/>
            <w:vMerge w:val="restart"/>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50993230" w14:textId="1ADACBE1" w:rsidR="755DBF50" w:rsidRPr="00B55437" w:rsidRDefault="755DBF50" w:rsidP="755DBF50">
            <w:pPr>
              <w:jc w:val="center"/>
              <w:rPr>
                <w:rFonts w:ascii="Arial" w:hAnsi="Arial" w:cs="Arial"/>
              </w:rPr>
            </w:pPr>
            <w:r>
              <w:rPr>
                <w:rFonts w:ascii="Arial" w:hAnsi="Arial"/>
                <w:smallCaps/>
                <w:color w:val="FFFFFF" w:themeColor="background1"/>
              </w:rPr>
              <w:t>case no.</w:t>
            </w:r>
          </w:p>
        </w:tc>
        <w:tc>
          <w:tcPr>
            <w:tcW w:w="7296" w:type="dxa"/>
            <w:gridSpan w:val="2"/>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78B5CA58" w14:textId="6B114C55" w:rsidR="755DBF50" w:rsidRPr="00B55437" w:rsidRDefault="755DBF50" w:rsidP="755DBF50">
            <w:pPr>
              <w:jc w:val="center"/>
              <w:rPr>
                <w:rFonts w:ascii="Arial" w:hAnsi="Arial" w:cs="Arial"/>
              </w:rPr>
            </w:pPr>
            <w:r>
              <w:rPr>
                <w:rFonts w:ascii="Arial" w:hAnsi="Arial"/>
                <w:smallCaps/>
                <w:color w:val="FFFFFF" w:themeColor="background1"/>
              </w:rPr>
              <w:t>functionality</w:t>
            </w:r>
          </w:p>
        </w:tc>
      </w:tr>
      <w:tr w:rsidR="755DBF50" w:rsidRPr="00B55437" w14:paraId="52849FA6" w14:textId="77777777" w:rsidTr="036317F7">
        <w:trPr>
          <w:trHeight w:val="300"/>
        </w:trPr>
        <w:tc>
          <w:tcPr>
            <w:tcW w:w="1036" w:type="dxa"/>
            <w:vMerge/>
            <w:vAlign w:val="center"/>
          </w:tcPr>
          <w:p w14:paraId="78878BC8" w14:textId="77777777" w:rsidR="00DF0D58" w:rsidRPr="00B55437" w:rsidRDefault="00DF0D58">
            <w:pPr>
              <w:rPr>
                <w:rFonts w:ascii="Arial" w:hAnsi="Arial" w:cs="Arial"/>
              </w:rPr>
            </w:pPr>
          </w:p>
        </w:tc>
        <w:tc>
          <w:tcPr>
            <w:tcW w:w="1420" w:type="dxa"/>
            <w:tcBorders>
              <w:top w:val="single" w:sz="8" w:space="0" w:color="auto"/>
              <w:left w:val="nil"/>
              <w:bottom w:val="single" w:sz="8" w:space="0" w:color="auto"/>
              <w:right w:val="single" w:sz="8" w:space="0" w:color="auto"/>
            </w:tcBorders>
            <w:shd w:val="clear" w:color="auto" w:fill="C00000"/>
            <w:tcMar>
              <w:left w:w="108" w:type="dxa"/>
              <w:right w:w="108" w:type="dxa"/>
            </w:tcMar>
            <w:vAlign w:val="center"/>
          </w:tcPr>
          <w:p w14:paraId="76F4BF80" w14:textId="3C3602BD" w:rsidR="755DBF50" w:rsidRPr="00B55437" w:rsidRDefault="755DBF50" w:rsidP="755DBF50">
            <w:pPr>
              <w:jc w:val="center"/>
              <w:rPr>
                <w:rFonts w:ascii="Arial" w:hAnsi="Arial" w:cs="Arial"/>
              </w:rPr>
            </w:pPr>
            <w:r>
              <w:rPr>
                <w:rFonts w:ascii="Arial" w:hAnsi="Arial"/>
                <w:smallCaps/>
                <w:color w:val="FFFFFF" w:themeColor="background1"/>
              </w:rPr>
              <w:t>letter symbols</w:t>
            </w:r>
          </w:p>
        </w:tc>
        <w:tc>
          <w:tcPr>
            <w:tcW w:w="5876" w:type="dxa"/>
            <w:tcBorders>
              <w:top w:val="nil"/>
              <w:left w:val="single" w:sz="8" w:space="0" w:color="auto"/>
              <w:bottom w:val="single" w:sz="8" w:space="0" w:color="auto"/>
              <w:right w:val="single" w:sz="8" w:space="0" w:color="auto"/>
            </w:tcBorders>
            <w:shd w:val="clear" w:color="auto" w:fill="C00000"/>
            <w:tcMar>
              <w:left w:w="108" w:type="dxa"/>
              <w:right w:w="108" w:type="dxa"/>
            </w:tcMar>
            <w:vAlign w:val="center"/>
          </w:tcPr>
          <w:p w14:paraId="63AE39D8" w14:textId="2CB15BFE" w:rsidR="755DBF50" w:rsidRPr="00B55437" w:rsidRDefault="755DBF50" w:rsidP="755DBF50">
            <w:pPr>
              <w:jc w:val="center"/>
              <w:rPr>
                <w:rFonts w:ascii="Arial" w:hAnsi="Arial" w:cs="Arial"/>
              </w:rPr>
            </w:pPr>
            <w:r>
              <w:rPr>
                <w:rFonts w:ascii="Arial" w:hAnsi="Arial"/>
                <w:smallCaps/>
                <w:color w:val="FFFFFF" w:themeColor="background1"/>
              </w:rPr>
              <w:t>Name of the functionality</w:t>
            </w:r>
          </w:p>
        </w:tc>
      </w:tr>
      <w:tr w:rsidR="755DBF50" w:rsidRPr="00B55437" w14:paraId="3214FFC6" w14:textId="77777777" w:rsidTr="036317F7">
        <w:trPr>
          <w:trHeight w:val="420"/>
        </w:trPr>
        <w:tc>
          <w:tcPr>
            <w:tcW w:w="1036" w:type="dxa"/>
            <w:tcBorders>
              <w:top w:val="nil"/>
              <w:left w:val="single" w:sz="8" w:space="0" w:color="auto"/>
              <w:bottom w:val="single" w:sz="8" w:space="0" w:color="auto"/>
              <w:right w:val="single" w:sz="8" w:space="0" w:color="auto"/>
            </w:tcBorders>
            <w:tcMar>
              <w:left w:w="108" w:type="dxa"/>
              <w:right w:w="108" w:type="dxa"/>
            </w:tcMar>
            <w:vAlign w:val="center"/>
          </w:tcPr>
          <w:p w14:paraId="098C6D6F" w14:textId="7698F133" w:rsidR="755DBF50" w:rsidRPr="00B55437" w:rsidRDefault="001470A1" w:rsidP="00DC3EC2">
            <w:pPr>
              <w:rPr>
                <w:rFonts w:ascii="Arial" w:hAnsi="Arial" w:cs="Arial"/>
                <w:i/>
                <w:iCs/>
                <w:smallCaps/>
                <w:color w:val="171717" w:themeColor="background2" w:themeShade="1A"/>
              </w:rPr>
            </w:pPr>
            <w:r>
              <w:rPr>
                <w:rFonts w:ascii="Arial" w:hAnsi="Arial"/>
                <w:i/>
                <w:smallCaps/>
                <w:color w:val="171717" w:themeColor="background2" w:themeShade="1A"/>
              </w:rPr>
              <w:t>08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A9AB8" w14:textId="3D21E4B6" w:rsidR="755DBF50" w:rsidRPr="00B55437" w:rsidRDefault="755DBF50" w:rsidP="00DC3EC2">
            <w:pPr>
              <w:rPr>
                <w:rFonts w:ascii="Arial" w:hAnsi="Arial" w:cs="Arial"/>
                <w:i/>
                <w:iCs/>
                <w:smallCaps/>
                <w:color w:val="171717" w:themeColor="background2" w:themeShade="1A"/>
              </w:rPr>
            </w:pPr>
            <w:proofErr w:type="spellStart"/>
            <w:r>
              <w:rPr>
                <w:rFonts w:ascii="Arial" w:hAnsi="Arial"/>
                <w:i/>
                <w:smallCaps/>
                <w:color w:val="171717" w:themeColor="background2" w:themeShade="1A"/>
              </w:rPr>
              <w:t>H20</w:t>
            </w:r>
            <w:proofErr w:type="spellEnd"/>
          </w:p>
        </w:tc>
        <w:tc>
          <w:tcPr>
            <w:tcW w:w="5876" w:type="dxa"/>
            <w:tcBorders>
              <w:top w:val="single" w:sz="8" w:space="0" w:color="auto"/>
              <w:left w:val="single" w:sz="8" w:space="0" w:color="auto"/>
              <w:bottom w:val="single" w:sz="8" w:space="0" w:color="auto"/>
              <w:right w:val="single" w:sz="8" w:space="0" w:color="auto"/>
            </w:tcBorders>
            <w:tcMar>
              <w:left w:w="108" w:type="dxa"/>
              <w:right w:w="108" w:type="dxa"/>
            </w:tcMar>
          </w:tcPr>
          <w:p w14:paraId="16ADBFC0" w14:textId="59225363" w:rsidR="755DBF50" w:rsidRPr="00B55437" w:rsidRDefault="755DBF50" w:rsidP="00DC3EC2">
            <w:pPr>
              <w:rPr>
                <w:rFonts w:ascii="Arial" w:hAnsi="Arial" w:cs="Arial"/>
                <w:i/>
                <w:iCs/>
                <w:smallCaps/>
                <w:color w:val="171717" w:themeColor="background2" w:themeShade="1A"/>
              </w:rPr>
            </w:pPr>
            <w:r>
              <w:rPr>
                <w:rFonts w:ascii="Arial" w:hAnsi="Arial"/>
                <w:i/>
                <w:smallCaps/>
                <w:color w:val="171717" w:themeColor="background2" w:themeShade="1A"/>
              </w:rPr>
              <w:t>Analysis of financial results, trends, deviations and the reasons for these deviations (root cause analysis, waterfall analysis).</w:t>
            </w:r>
          </w:p>
          <w:p w14:paraId="1342A160" w14:textId="51E9820F" w:rsidR="755DBF50" w:rsidRPr="00B55437" w:rsidRDefault="755DBF50" w:rsidP="00DC3EC2">
            <w:pPr>
              <w:rPr>
                <w:rFonts w:ascii="Arial" w:hAnsi="Arial" w:cs="Arial"/>
                <w:i/>
                <w:iCs/>
                <w:smallCaps/>
                <w:color w:val="171717" w:themeColor="background2" w:themeShade="1A"/>
              </w:rPr>
            </w:pPr>
            <w:r>
              <w:rPr>
                <w:rFonts w:ascii="Arial" w:hAnsi="Arial"/>
                <w:i/>
                <w:smallCaps/>
                <w:color w:val="171717" w:themeColor="background2" w:themeShade="1A"/>
              </w:rPr>
              <w:t xml:space="preserve"> </w:t>
            </w:r>
          </w:p>
        </w:tc>
      </w:tr>
    </w:tbl>
    <w:p w14:paraId="09E9DEA9" w14:textId="46A1995C" w:rsidR="5DC79EE4" w:rsidRPr="00B55437" w:rsidRDefault="5DC79EE4" w:rsidP="755DBF50">
      <w:pPr>
        <w:spacing w:line="257" w:lineRule="auto"/>
        <w:rPr>
          <w:rFonts w:ascii="Arial" w:hAnsi="Arial" w:cs="Arial"/>
        </w:rPr>
      </w:pPr>
      <w:r>
        <w:rPr>
          <w:rFonts w:ascii="Arial" w:hAnsi="Arial"/>
          <w:i/>
          <w:smallCaps/>
          <w:color w:val="171717" w:themeColor="background2" w:themeShade="1A"/>
        </w:rPr>
        <w:t xml:space="preserve"> </w:t>
      </w:r>
    </w:p>
    <w:p w14:paraId="4CDC1F0A" w14:textId="65120287" w:rsidR="5DC79EE4" w:rsidRPr="00B55437" w:rsidRDefault="5DC79EE4" w:rsidP="001470A1">
      <w:pPr>
        <w:pStyle w:val="Nagwek1"/>
        <w:numPr>
          <w:ilvl w:val="1"/>
          <w:numId w:val="41"/>
        </w:numPr>
        <w:spacing w:before="0" w:after="0" w:line="240" w:lineRule="auto"/>
        <w:rPr>
          <w:rFonts w:ascii="Arial" w:hAnsi="Arial" w:cs="Arial"/>
          <w:b/>
          <w:bCs/>
          <w:color w:val="auto"/>
          <w:sz w:val="22"/>
          <w:szCs w:val="22"/>
        </w:rPr>
      </w:pPr>
      <w:bookmarkStart w:id="28" w:name="_Toc936079137"/>
      <w:r w:rsidRPr="6941ADB9">
        <w:rPr>
          <w:rFonts w:ascii="Arial" w:hAnsi="Arial"/>
          <w:b/>
          <w:bCs/>
          <w:color w:val="auto"/>
          <w:sz w:val="22"/>
          <w:szCs w:val="22"/>
        </w:rPr>
        <w:t>Use case description</w:t>
      </w:r>
      <w:bookmarkEnd w:id="28"/>
      <w:r w:rsidRPr="6941ADB9">
        <w:rPr>
          <w:rFonts w:ascii="Arial" w:hAnsi="Arial"/>
          <w:b/>
          <w:bCs/>
          <w:color w:val="auto"/>
          <w:sz w:val="22"/>
          <w:szCs w:val="22"/>
        </w:rPr>
        <w:t xml:space="preserve"> </w:t>
      </w:r>
    </w:p>
    <w:p w14:paraId="2F103B3D" w14:textId="77777777" w:rsidR="00576510" w:rsidRPr="00B55437" w:rsidRDefault="00576510" w:rsidP="00576510">
      <w:pPr>
        <w:rPr>
          <w:rFonts w:ascii="Arial" w:hAnsi="Arial" w:cs="Arial"/>
        </w:rPr>
      </w:pPr>
    </w:p>
    <w:p w14:paraId="267E1BC7" w14:textId="2E6ED66F" w:rsidR="5DC79EE4" w:rsidRPr="00B55437" w:rsidRDefault="5DC79EE4" w:rsidP="755DBF50">
      <w:pPr>
        <w:spacing w:line="257" w:lineRule="auto"/>
        <w:rPr>
          <w:rFonts w:ascii="Arial" w:hAnsi="Arial" w:cs="Arial"/>
        </w:rPr>
      </w:pPr>
      <w:r>
        <w:rPr>
          <w:rFonts w:ascii="Arial" w:hAnsi="Arial"/>
        </w:rPr>
        <w:t xml:space="preserve">The aim of this use case is to verify the functionality of the </w:t>
      </w:r>
      <w:proofErr w:type="spellStart"/>
      <w:r>
        <w:rPr>
          <w:rFonts w:ascii="Arial" w:hAnsi="Arial"/>
        </w:rPr>
        <w:t>EPM</w:t>
      </w:r>
      <w:proofErr w:type="spellEnd"/>
      <w:r>
        <w:rPr>
          <w:rFonts w:ascii="Arial" w:hAnsi="Arial"/>
        </w:rPr>
        <w:t xml:space="preserve"> (Enterprise Performance Management) system in terms of its ability to analyse financial results, trends and variances.</w:t>
      </w:r>
    </w:p>
    <w:p w14:paraId="5D6C824F" w14:textId="77777777" w:rsidR="00B47CCB" w:rsidRDefault="00B47CCB">
      <w:r>
        <w:rPr>
          <w:rFonts w:ascii="Arial" w:hAnsi="Arial"/>
        </w:rPr>
        <w:t>The company needs to review the methods used to analyse its financial results and the reasons for any deviations – for example, actual performance against the plan – as well as the presentation of trends across specified time periods.</w:t>
      </w:r>
    </w:p>
    <w:p w14:paraId="4B63943F" w14:textId="79DF208A" w:rsidR="5DC79EE4" w:rsidRPr="00B55437" w:rsidRDefault="5DC79EE4" w:rsidP="755DBF50">
      <w:pPr>
        <w:spacing w:line="257" w:lineRule="auto"/>
        <w:rPr>
          <w:rFonts w:ascii="Arial" w:hAnsi="Arial" w:cs="Arial"/>
        </w:rPr>
      </w:pPr>
      <w:r>
        <w:rPr>
          <w:rFonts w:ascii="Arial" w:hAnsi="Arial"/>
          <w:b/>
          <w:u w:val="single"/>
        </w:rPr>
        <w:t>The script includes:</w:t>
      </w:r>
    </w:p>
    <w:p w14:paraId="40C1ADBB" w14:textId="094E050D" w:rsidR="2AD8CA7B" w:rsidRPr="00B55437" w:rsidRDefault="2AD8CA7B" w:rsidP="00044EEF">
      <w:pPr>
        <w:pStyle w:val="Akapitzlist"/>
        <w:numPr>
          <w:ilvl w:val="0"/>
          <w:numId w:val="43"/>
        </w:numPr>
        <w:spacing w:after="120" w:line="276" w:lineRule="auto"/>
        <w:ind w:left="714" w:hanging="357"/>
        <w:contextualSpacing w:val="0"/>
        <w:rPr>
          <w:rFonts w:ascii="Arial" w:eastAsia="Aptos" w:hAnsi="Arial" w:cs="Arial"/>
        </w:rPr>
      </w:pPr>
      <w:r>
        <w:rPr>
          <w:rFonts w:ascii="Arial" w:hAnsi="Arial"/>
        </w:rPr>
        <w:t>To illustrate, using examples, the available methods and types of financial results analysis, the causes of deviations and how these can be visualised, including:</w:t>
      </w:r>
    </w:p>
    <w:p w14:paraId="539646EE" w14:textId="55A8B67E" w:rsidR="2AD8CA7B" w:rsidRPr="00B55437" w:rsidRDefault="2AD8CA7B" w:rsidP="00044EEF">
      <w:pPr>
        <w:pStyle w:val="Akapitzlist"/>
        <w:numPr>
          <w:ilvl w:val="1"/>
          <w:numId w:val="43"/>
        </w:numPr>
        <w:spacing w:after="120" w:line="276" w:lineRule="auto"/>
        <w:ind w:left="1434" w:hanging="357"/>
        <w:contextualSpacing w:val="0"/>
        <w:rPr>
          <w:rFonts w:ascii="Arial" w:eastAsia="Aptos" w:hAnsi="Arial" w:cs="Arial"/>
        </w:rPr>
      </w:pPr>
      <w:r>
        <w:rPr>
          <w:rFonts w:ascii="Arial" w:hAnsi="Arial"/>
        </w:rPr>
        <w:t xml:space="preserve">Bridge – demonstrate in </w:t>
      </w:r>
      <w:proofErr w:type="spellStart"/>
      <w:r>
        <w:rPr>
          <w:rFonts w:ascii="Arial" w:hAnsi="Arial"/>
        </w:rPr>
        <w:t>EPM</w:t>
      </w:r>
      <w:proofErr w:type="spellEnd"/>
      <w:r>
        <w:rPr>
          <w:rFonts w:ascii="Arial" w:hAnsi="Arial"/>
        </w:rPr>
        <w:t xml:space="preserve"> how to analyse and visualise variances in the Capital Group’s EBITDA financial results for periods n versus </w:t>
      </w:r>
      <w:proofErr w:type="spellStart"/>
      <w:r>
        <w:rPr>
          <w:rFonts w:ascii="Arial" w:hAnsi="Arial"/>
        </w:rPr>
        <w:t>n+1</w:t>
      </w:r>
      <w:proofErr w:type="spellEnd"/>
      <w:r>
        <w:rPr>
          <w:rFonts w:ascii="Arial" w:hAnsi="Arial"/>
        </w:rPr>
        <w:t>, broken down by segment, as well as by the companies comprising each segment, e.g. as shown below:</w:t>
      </w:r>
    </w:p>
    <w:tbl>
      <w:tblPr>
        <w:tblW w:w="0" w:type="auto"/>
        <w:tblInd w:w="1350" w:type="dxa"/>
        <w:tblLook w:val="04A0" w:firstRow="1" w:lastRow="0" w:firstColumn="1" w:lastColumn="0" w:noHBand="0" w:noVBand="1"/>
      </w:tblPr>
      <w:tblGrid>
        <w:gridCol w:w="4380"/>
        <w:gridCol w:w="1480"/>
      </w:tblGrid>
      <w:tr w:rsidR="13EFAC6D" w:rsidRPr="00B55437" w14:paraId="51B62DEC" w14:textId="77777777" w:rsidTr="13EFAC6D">
        <w:trPr>
          <w:trHeight w:val="285"/>
        </w:trPr>
        <w:tc>
          <w:tcPr>
            <w:tcW w:w="4380" w:type="dxa"/>
            <w:tcBorders>
              <w:top w:val="nil"/>
              <w:left w:val="nil"/>
              <w:bottom w:val="single" w:sz="8" w:space="0" w:color="auto"/>
              <w:right w:val="nil"/>
            </w:tcBorders>
            <w:tcMar>
              <w:left w:w="70" w:type="dxa"/>
              <w:right w:w="70" w:type="dxa"/>
            </w:tcMar>
            <w:vAlign w:val="bottom"/>
          </w:tcPr>
          <w:p w14:paraId="6BF8C5F6" w14:textId="06986474" w:rsidR="13EFAC6D" w:rsidRPr="00B55437" w:rsidRDefault="13EFAC6D" w:rsidP="13EFAC6D">
            <w:pPr>
              <w:spacing w:after="0"/>
              <w:rPr>
                <w:rFonts w:ascii="Arial" w:hAnsi="Arial" w:cs="Arial"/>
                <w:b/>
                <w:bCs/>
              </w:rPr>
            </w:pPr>
            <w:r>
              <w:rPr>
                <w:rFonts w:ascii="Arial" w:hAnsi="Arial"/>
                <w:b/>
                <w:color w:val="000000" w:themeColor="text1"/>
              </w:rPr>
              <w:t>EBITDA for the year n</w:t>
            </w:r>
          </w:p>
        </w:tc>
        <w:tc>
          <w:tcPr>
            <w:tcW w:w="1480" w:type="dxa"/>
            <w:tcBorders>
              <w:top w:val="nil"/>
              <w:left w:val="nil"/>
              <w:bottom w:val="single" w:sz="8" w:space="0" w:color="auto"/>
              <w:right w:val="nil"/>
            </w:tcBorders>
            <w:tcMar>
              <w:left w:w="70" w:type="dxa"/>
              <w:right w:w="70" w:type="dxa"/>
            </w:tcMar>
            <w:vAlign w:val="bottom"/>
          </w:tcPr>
          <w:p w14:paraId="52EBC81F" w14:textId="243CD30C" w:rsidR="13EFAC6D" w:rsidRPr="00B55437" w:rsidRDefault="002404C6" w:rsidP="13EFAC6D">
            <w:pPr>
              <w:spacing w:after="0"/>
              <w:jc w:val="center"/>
              <w:rPr>
                <w:rFonts w:ascii="Arial" w:hAnsi="Arial" w:cs="Arial"/>
                <w:b/>
                <w:bCs/>
              </w:rPr>
            </w:pPr>
            <w:r>
              <w:rPr>
                <w:rFonts w:ascii="Arial" w:hAnsi="Arial"/>
                <w:b/>
              </w:rPr>
              <w:t>A</w:t>
            </w:r>
          </w:p>
        </w:tc>
      </w:tr>
      <w:tr w:rsidR="13EFAC6D" w:rsidRPr="00B55437" w14:paraId="5B94591C" w14:textId="77777777" w:rsidTr="13EFAC6D">
        <w:trPr>
          <w:trHeight w:val="285"/>
        </w:trPr>
        <w:tc>
          <w:tcPr>
            <w:tcW w:w="4380" w:type="dxa"/>
            <w:tcMar>
              <w:left w:w="70" w:type="dxa"/>
              <w:right w:w="70" w:type="dxa"/>
            </w:tcMar>
            <w:vAlign w:val="bottom"/>
          </w:tcPr>
          <w:p w14:paraId="5EECFEF2" w14:textId="513654CC" w:rsidR="13EFAC6D" w:rsidRPr="00B55437" w:rsidRDefault="13EFAC6D" w:rsidP="13EFAC6D">
            <w:pPr>
              <w:spacing w:after="0"/>
              <w:rPr>
                <w:rFonts w:ascii="Arial" w:hAnsi="Arial" w:cs="Arial"/>
              </w:rPr>
            </w:pPr>
            <w:r>
              <w:rPr>
                <w:rFonts w:ascii="Arial" w:hAnsi="Arial"/>
                <w:color w:val="000000" w:themeColor="text1"/>
              </w:rPr>
              <w:t>- a change in fixed costs</w:t>
            </w:r>
          </w:p>
        </w:tc>
        <w:tc>
          <w:tcPr>
            <w:tcW w:w="1480" w:type="dxa"/>
            <w:tcMar>
              <w:left w:w="70" w:type="dxa"/>
              <w:right w:w="70" w:type="dxa"/>
            </w:tcMar>
            <w:vAlign w:val="bottom"/>
          </w:tcPr>
          <w:p w14:paraId="68B98AB7" w14:textId="004C51A4" w:rsidR="13EFAC6D" w:rsidRPr="00B55437" w:rsidRDefault="002404C6" w:rsidP="13EFAC6D">
            <w:pPr>
              <w:spacing w:after="0"/>
              <w:jc w:val="center"/>
              <w:rPr>
                <w:rFonts w:ascii="Arial" w:hAnsi="Arial" w:cs="Arial"/>
              </w:rPr>
            </w:pPr>
            <w:proofErr w:type="spellStart"/>
            <w:r>
              <w:rPr>
                <w:rFonts w:ascii="Arial" w:hAnsi="Arial"/>
              </w:rPr>
              <w:t>X1</w:t>
            </w:r>
            <w:proofErr w:type="spellEnd"/>
          </w:p>
        </w:tc>
      </w:tr>
      <w:tr w:rsidR="13EFAC6D" w:rsidRPr="00B55437" w14:paraId="68F900BD" w14:textId="77777777" w:rsidTr="13EFAC6D">
        <w:trPr>
          <w:trHeight w:val="285"/>
        </w:trPr>
        <w:tc>
          <w:tcPr>
            <w:tcW w:w="4380" w:type="dxa"/>
            <w:tcMar>
              <w:left w:w="70" w:type="dxa"/>
              <w:right w:w="70" w:type="dxa"/>
            </w:tcMar>
            <w:vAlign w:val="bottom"/>
          </w:tcPr>
          <w:p w14:paraId="406169A6" w14:textId="1787BF0C" w:rsidR="13EFAC6D" w:rsidRPr="00B55437" w:rsidRDefault="13EFAC6D" w:rsidP="13EFAC6D">
            <w:pPr>
              <w:spacing w:after="0"/>
              <w:rPr>
                <w:rFonts w:ascii="Arial" w:hAnsi="Arial" w:cs="Arial"/>
              </w:rPr>
            </w:pPr>
            <w:r>
              <w:rPr>
                <w:rFonts w:ascii="Arial" w:hAnsi="Arial"/>
                <w:color w:val="000000" w:themeColor="text1"/>
              </w:rPr>
              <w:t>- a change in labour costs</w:t>
            </w:r>
          </w:p>
        </w:tc>
        <w:tc>
          <w:tcPr>
            <w:tcW w:w="1480" w:type="dxa"/>
            <w:tcMar>
              <w:left w:w="70" w:type="dxa"/>
              <w:right w:w="70" w:type="dxa"/>
            </w:tcMar>
            <w:vAlign w:val="bottom"/>
          </w:tcPr>
          <w:p w14:paraId="0F9A2DA7" w14:textId="0F73B0E2" w:rsidR="13EFAC6D" w:rsidRPr="00B55437" w:rsidRDefault="002404C6" w:rsidP="13EFAC6D">
            <w:pPr>
              <w:spacing w:after="0"/>
              <w:jc w:val="center"/>
              <w:rPr>
                <w:rFonts w:ascii="Arial" w:hAnsi="Arial" w:cs="Arial"/>
              </w:rPr>
            </w:pPr>
            <w:proofErr w:type="spellStart"/>
            <w:r>
              <w:rPr>
                <w:rFonts w:ascii="Arial" w:hAnsi="Arial"/>
              </w:rPr>
              <w:t>X2</w:t>
            </w:r>
            <w:proofErr w:type="spellEnd"/>
          </w:p>
        </w:tc>
      </w:tr>
      <w:tr w:rsidR="13EFAC6D" w:rsidRPr="00B55437" w14:paraId="1341600D" w14:textId="77777777" w:rsidTr="13EFAC6D">
        <w:trPr>
          <w:trHeight w:val="285"/>
        </w:trPr>
        <w:tc>
          <w:tcPr>
            <w:tcW w:w="4380" w:type="dxa"/>
            <w:tcMar>
              <w:left w:w="70" w:type="dxa"/>
              <w:right w:w="70" w:type="dxa"/>
            </w:tcMar>
            <w:vAlign w:val="bottom"/>
          </w:tcPr>
          <w:p w14:paraId="1111A2F0" w14:textId="20B2A973" w:rsidR="13EFAC6D" w:rsidRPr="00B55437" w:rsidRDefault="13EFAC6D" w:rsidP="13EFAC6D">
            <w:pPr>
              <w:spacing w:after="0"/>
              <w:rPr>
                <w:rFonts w:ascii="Arial" w:hAnsi="Arial" w:cs="Arial"/>
              </w:rPr>
            </w:pPr>
            <w:r>
              <w:rPr>
                <w:rFonts w:ascii="Arial" w:hAnsi="Arial"/>
                <w:color w:val="000000" w:themeColor="text1"/>
              </w:rPr>
              <w:t>- change in volume</w:t>
            </w:r>
          </w:p>
        </w:tc>
        <w:tc>
          <w:tcPr>
            <w:tcW w:w="1480" w:type="dxa"/>
            <w:tcMar>
              <w:left w:w="70" w:type="dxa"/>
              <w:right w:w="70" w:type="dxa"/>
            </w:tcMar>
            <w:vAlign w:val="bottom"/>
          </w:tcPr>
          <w:p w14:paraId="1E195878" w14:textId="4958E1E3" w:rsidR="13EFAC6D" w:rsidRPr="00B55437" w:rsidRDefault="002404C6" w:rsidP="13EFAC6D">
            <w:pPr>
              <w:spacing w:after="0"/>
              <w:jc w:val="center"/>
              <w:rPr>
                <w:rFonts w:ascii="Arial" w:hAnsi="Arial" w:cs="Arial"/>
              </w:rPr>
            </w:pPr>
            <w:proofErr w:type="spellStart"/>
            <w:r>
              <w:rPr>
                <w:rFonts w:ascii="Arial" w:hAnsi="Arial"/>
              </w:rPr>
              <w:t>X3</w:t>
            </w:r>
            <w:proofErr w:type="spellEnd"/>
          </w:p>
        </w:tc>
      </w:tr>
      <w:tr w:rsidR="13EFAC6D" w:rsidRPr="00B55437" w14:paraId="62C37771" w14:textId="77777777" w:rsidTr="13EFAC6D">
        <w:trPr>
          <w:trHeight w:val="285"/>
        </w:trPr>
        <w:tc>
          <w:tcPr>
            <w:tcW w:w="4380" w:type="dxa"/>
            <w:tcMar>
              <w:left w:w="70" w:type="dxa"/>
              <w:right w:w="70" w:type="dxa"/>
            </w:tcMar>
            <w:vAlign w:val="bottom"/>
          </w:tcPr>
          <w:p w14:paraId="763C6957" w14:textId="14FA2C25" w:rsidR="13EFAC6D" w:rsidRPr="00B55437" w:rsidRDefault="13EFAC6D" w:rsidP="13EFAC6D">
            <w:pPr>
              <w:spacing w:after="0"/>
              <w:rPr>
                <w:rFonts w:ascii="Arial" w:hAnsi="Arial" w:cs="Arial"/>
              </w:rPr>
            </w:pPr>
            <w:r>
              <w:rPr>
                <w:rFonts w:ascii="Arial" w:hAnsi="Arial"/>
                <w:color w:val="000000" w:themeColor="text1"/>
              </w:rPr>
              <w:t>- a change in macroeconomic assumptions</w:t>
            </w:r>
          </w:p>
        </w:tc>
        <w:tc>
          <w:tcPr>
            <w:tcW w:w="1480" w:type="dxa"/>
            <w:tcMar>
              <w:left w:w="70" w:type="dxa"/>
              <w:right w:w="70" w:type="dxa"/>
            </w:tcMar>
            <w:vAlign w:val="bottom"/>
          </w:tcPr>
          <w:p w14:paraId="6972C252" w14:textId="27216134" w:rsidR="13EFAC6D" w:rsidRPr="00B55437" w:rsidRDefault="002404C6" w:rsidP="13EFAC6D">
            <w:pPr>
              <w:spacing w:after="0"/>
              <w:jc w:val="center"/>
              <w:rPr>
                <w:rFonts w:ascii="Arial" w:hAnsi="Arial" w:cs="Arial"/>
              </w:rPr>
            </w:pPr>
            <w:proofErr w:type="spellStart"/>
            <w:r>
              <w:rPr>
                <w:rFonts w:ascii="Arial" w:hAnsi="Arial"/>
              </w:rPr>
              <w:t>X4</w:t>
            </w:r>
            <w:proofErr w:type="spellEnd"/>
          </w:p>
        </w:tc>
      </w:tr>
      <w:tr w:rsidR="13EFAC6D" w:rsidRPr="00B55437" w14:paraId="7E3F1499" w14:textId="77777777" w:rsidTr="13EFAC6D">
        <w:trPr>
          <w:trHeight w:val="285"/>
        </w:trPr>
        <w:tc>
          <w:tcPr>
            <w:tcW w:w="4380" w:type="dxa"/>
            <w:tcBorders>
              <w:left w:val="nil"/>
              <w:bottom w:val="single" w:sz="8" w:space="0" w:color="auto"/>
              <w:right w:val="nil"/>
            </w:tcBorders>
            <w:tcMar>
              <w:left w:w="70" w:type="dxa"/>
              <w:right w:w="70" w:type="dxa"/>
            </w:tcMar>
            <w:vAlign w:val="bottom"/>
          </w:tcPr>
          <w:p w14:paraId="0D6C1688" w14:textId="0FD58441" w:rsidR="13EFAC6D" w:rsidRPr="00B55437" w:rsidRDefault="13EFAC6D" w:rsidP="13EFAC6D">
            <w:pPr>
              <w:spacing w:after="0"/>
              <w:rPr>
                <w:rFonts w:ascii="Arial" w:hAnsi="Arial" w:cs="Arial"/>
              </w:rPr>
            </w:pPr>
            <w:r>
              <w:rPr>
                <w:rFonts w:ascii="Arial" w:hAnsi="Arial"/>
                <w:color w:val="000000" w:themeColor="text1"/>
              </w:rPr>
              <w:t>- changes in other factors</w:t>
            </w:r>
          </w:p>
        </w:tc>
        <w:tc>
          <w:tcPr>
            <w:tcW w:w="1480" w:type="dxa"/>
            <w:tcBorders>
              <w:left w:val="nil"/>
              <w:bottom w:val="single" w:sz="8" w:space="0" w:color="auto"/>
              <w:right w:val="nil"/>
            </w:tcBorders>
            <w:tcMar>
              <w:left w:w="70" w:type="dxa"/>
              <w:right w:w="70" w:type="dxa"/>
            </w:tcMar>
            <w:vAlign w:val="bottom"/>
          </w:tcPr>
          <w:p w14:paraId="60962F88" w14:textId="1CD5D109" w:rsidR="13EFAC6D" w:rsidRPr="00B55437" w:rsidRDefault="002404C6" w:rsidP="13EFAC6D">
            <w:pPr>
              <w:spacing w:after="0"/>
              <w:jc w:val="center"/>
              <w:rPr>
                <w:rFonts w:ascii="Arial" w:hAnsi="Arial" w:cs="Arial"/>
              </w:rPr>
            </w:pPr>
            <w:proofErr w:type="spellStart"/>
            <w:r>
              <w:rPr>
                <w:rFonts w:ascii="Arial" w:hAnsi="Arial"/>
              </w:rPr>
              <w:t>X5</w:t>
            </w:r>
            <w:proofErr w:type="spellEnd"/>
          </w:p>
        </w:tc>
      </w:tr>
      <w:tr w:rsidR="13EFAC6D" w:rsidRPr="00B55437" w14:paraId="16B63181" w14:textId="77777777" w:rsidTr="13EFAC6D">
        <w:trPr>
          <w:trHeight w:val="285"/>
        </w:trPr>
        <w:tc>
          <w:tcPr>
            <w:tcW w:w="4380" w:type="dxa"/>
            <w:tcMar>
              <w:left w:w="70" w:type="dxa"/>
              <w:right w:w="70" w:type="dxa"/>
            </w:tcMar>
            <w:vAlign w:val="bottom"/>
          </w:tcPr>
          <w:p w14:paraId="2C77D815" w14:textId="334AA6F1" w:rsidR="13EFAC6D" w:rsidRPr="00B55437" w:rsidRDefault="13EFAC6D" w:rsidP="13EFAC6D">
            <w:pPr>
              <w:spacing w:after="0"/>
              <w:rPr>
                <w:rFonts w:ascii="Arial" w:hAnsi="Arial" w:cs="Arial"/>
                <w:b/>
                <w:bCs/>
              </w:rPr>
            </w:pPr>
            <w:r>
              <w:rPr>
                <w:rFonts w:ascii="Arial" w:hAnsi="Arial"/>
                <w:b/>
                <w:color w:val="000000" w:themeColor="text1"/>
              </w:rPr>
              <w:t xml:space="preserve">EBITDA </w:t>
            </w:r>
            <w:proofErr w:type="spellStart"/>
            <w:r>
              <w:rPr>
                <w:rFonts w:ascii="Arial" w:hAnsi="Arial"/>
                <w:b/>
                <w:color w:val="000000" w:themeColor="text1"/>
              </w:rPr>
              <w:t>rok</w:t>
            </w:r>
            <w:proofErr w:type="spellEnd"/>
            <w:r>
              <w:rPr>
                <w:rFonts w:ascii="Arial" w:hAnsi="Arial"/>
                <w:b/>
                <w:color w:val="000000" w:themeColor="text1"/>
              </w:rPr>
              <w:t xml:space="preserve"> </w:t>
            </w:r>
            <w:proofErr w:type="spellStart"/>
            <w:r>
              <w:rPr>
                <w:rFonts w:ascii="Arial" w:hAnsi="Arial"/>
                <w:b/>
                <w:color w:val="000000" w:themeColor="text1"/>
              </w:rPr>
              <w:t>n+1</w:t>
            </w:r>
            <w:proofErr w:type="spellEnd"/>
          </w:p>
        </w:tc>
        <w:tc>
          <w:tcPr>
            <w:tcW w:w="1480" w:type="dxa"/>
            <w:tcMar>
              <w:left w:w="70" w:type="dxa"/>
              <w:right w:w="70" w:type="dxa"/>
            </w:tcMar>
            <w:vAlign w:val="bottom"/>
          </w:tcPr>
          <w:p w14:paraId="04DE0A73" w14:textId="747337F6" w:rsidR="13EFAC6D" w:rsidRPr="00B55437" w:rsidRDefault="002404C6" w:rsidP="13EFAC6D">
            <w:pPr>
              <w:spacing w:after="0"/>
              <w:jc w:val="center"/>
              <w:rPr>
                <w:rFonts w:ascii="Arial" w:hAnsi="Arial" w:cs="Arial"/>
                <w:b/>
                <w:bCs/>
              </w:rPr>
            </w:pPr>
            <w:r>
              <w:rPr>
                <w:rFonts w:ascii="Arial" w:hAnsi="Arial"/>
                <w:b/>
                <w:color w:val="000000" w:themeColor="text1"/>
              </w:rPr>
              <w:t>B</w:t>
            </w:r>
          </w:p>
        </w:tc>
      </w:tr>
    </w:tbl>
    <w:p w14:paraId="3EFCCF0B" w14:textId="6665B3DF" w:rsidR="2AD8CA7B" w:rsidRPr="00B55437" w:rsidRDefault="2AD8CA7B" w:rsidP="13EFAC6D">
      <w:pPr>
        <w:spacing w:line="276" w:lineRule="auto"/>
        <w:ind w:left="1440"/>
        <w:rPr>
          <w:rFonts w:ascii="Arial" w:eastAsia="Aptos" w:hAnsi="Arial" w:cs="Arial"/>
        </w:rPr>
      </w:pPr>
    </w:p>
    <w:p w14:paraId="61AD1503" w14:textId="0DD4ABA0" w:rsidR="005749D3" w:rsidRPr="00B55437" w:rsidRDefault="005749D3" w:rsidP="13EFAC6D">
      <w:pPr>
        <w:spacing w:line="276" w:lineRule="auto"/>
        <w:ind w:left="1440"/>
        <w:rPr>
          <w:rFonts w:ascii="Arial" w:hAnsi="Arial" w:cs="Arial"/>
        </w:rPr>
      </w:pPr>
      <w:r>
        <w:rPr>
          <w:rFonts w:ascii="Arial" w:hAnsi="Arial"/>
        </w:rPr>
        <w:t>Demonstrate this using any segment structure and any list of companies. We are keen to understand the available features.</w:t>
      </w:r>
    </w:p>
    <w:p w14:paraId="40ACCFE4" w14:textId="0CF0BD09" w:rsidR="2AD8CA7B" w:rsidRPr="00B55437" w:rsidRDefault="2AD8CA7B" w:rsidP="13EFAC6D">
      <w:pPr>
        <w:pStyle w:val="Akapitzlist"/>
        <w:numPr>
          <w:ilvl w:val="1"/>
          <w:numId w:val="42"/>
        </w:numPr>
        <w:spacing w:after="0" w:line="276" w:lineRule="auto"/>
        <w:rPr>
          <w:rFonts w:ascii="Arial" w:eastAsia="Aptos" w:hAnsi="Arial" w:cs="Arial"/>
        </w:rPr>
      </w:pPr>
      <w:r>
        <w:rPr>
          <w:rFonts w:ascii="Arial" w:hAnsi="Arial"/>
        </w:rPr>
        <w:t xml:space="preserve">Trends – an analysis of sales and production trends for a selected product or group of products (value, volume) should be provided for the forecast for year n, the plan for year n, and the plans for years </w:t>
      </w:r>
      <w:proofErr w:type="spellStart"/>
      <w:r>
        <w:rPr>
          <w:rFonts w:ascii="Arial" w:hAnsi="Arial"/>
        </w:rPr>
        <w:t>n+1</w:t>
      </w:r>
      <w:proofErr w:type="spellEnd"/>
      <w:r>
        <w:rPr>
          <w:rFonts w:ascii="Arial" w:hAnsi="Arial"/>
        </w:rPr>
        <w:t xml:space="preserve"> and </w:t>
      </w:r>
      <w:proofErr w:type="spellStart"/>
      <w:r>
        <w:rPr>
          <w:rFonts w:ascii="Arial" w:hAnsi="Arial"/>
        </w:rPr>
        <w:t>n+2</w:t>
      </w:r>
      <w:proofErr w:type="spellEnd"/>
      <w:r>
        <w:rPr>
          <w:rFonts w:ascii="Arial" w:hAnsi="Arial"/>
        </w:rPr>
        <w:t>. The results of the trend analysis should be presented in tabular form and as a chart based on sample products/product groups.</w:t>
      </w:r>
    </w:p>
    <w:p w14:paraId="77317AFB" w14:textId="433E1831" w:rsidR="2AD8CA7B" w:rsidRPr="00B55437" w:rsidRDefault="2AD8CA7B" w:rsidP="13EFAC6D">
      <w:pPr>
        <w:spacing w:line="276" w:lineRule="auto"/>
        <w:rPr>
          <w:rFonts w:ascii="Arial" w:hAnsi="Arial" w:cs="Arial"/>
        </w:rPr>
      </w:pPr>
      <w:r>
        <w:rPr>
          <w:rFonts w:ascii="Arial" w:hAnsi="Arial"/>
        </w:rPr>
        <w:t xml:space="preserve">  </w:t>
      </w:r>
    </w:p>
    <w:p w14:paraId="41704799" w14:textId="2F091302" w:rsidR="2AD8CA7B" w:rsidRDefault="2AD8CA7B" w:rsidP="13EFAC6D">
      <w:pPr>
        <w:spacing w:line="276" w:lineRule="auto"/>
        <w:rPr>
          <w:rFonts w:ascii="Aptos" w:eastAsia="Aptos" w:hAnsi="Aptos" w:cs="Aptos"/>
          <w:sz w:val="24"/>
          <w:szCs w:val="24"/>
        </w:rPr>
      </w:pPr>
      <w:r>
        <w:rPr>
          <w:rFonts w:ascii="Aptos" w:hAnsi="Aptos"/>
          <w:sz w:val="24"/>
        </w:rPr>
        <w:t xml:space="preserve">  </w:t>
      </w:r>
    </w:p>
    <w:p w14:paraId="44BD6C3D" w14:textId="77777777" w:rsidR="009344DE" w:rsidRDefault="009344DE" w:rsidP="13EFAC6D">
      <w:pPr>
        <w:spacing w:line="276" w:lineRule="auto"/>
      </w:pPr>
    </w:p>
    <w:sectPr w:rsidR="009344DE" w:rsidSect="004D548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A6BEF" w14:textId="77777777" w:rsidR="001801BC" w:rsidRDefault="001801BC" w:rsidP="001E570A">
      <w:pPr>
        <w:spacing w:after="0" w:line="240" w:lineRule="auto"/>
      </w:pPr>
      <w:r>
        <w:separator/>
      </w:r>
    </w:p>
  </w:endnote>
  <w:endnote w:type="continuationSeparator" w:id="0">
    <w:p w14:paraId="773B4A6C" w14:textId="77777777" w:rsidR="001801BC" w:rsidRDefault="001801BC" w:rsidP="001E5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B8B5C" w14:textId="77777777" w:rsidR="001801BC" w:rsidRDefault="001801BC" w:rsidP="001E570A">
      <w:pPr>
        <w:spacing w:after="0" w:line="240" w:lineRule="auto"/>
      </w:pPr>
      <w:r>
        <w:separator/>
      </w:r>
    </w:p>
  </w:footnote>
  <w:footnote w:type="continuationSeparator" w:id="0">
    <w:p w14:paraId="2DFAD6D8" w14:textId="77777777" w:rsidR="001801BC" w:rsidRDefault="001801BC" w:rsidP="001E570A">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2/PAS4HfJvePzx" int2:id="8661EqYC">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7A0D5F4"/>
    <w:lvl w:ilvl="0">
      <w:start w:val="1"/>
      <w:numFmt w:val="bullet"/>
      <w:pStyle w:val="Listapunktowana4"/>
      <w:lvlText w:val=""/>
      <w:lvlJc w:val="left"/>
      <w:pPr>
        <w:tabs>
          <w:tab w:val="num" w:pos="3664"/>
        </w:tabs>
        <w:ind w:left="3664" w:hanging="360"/>
      </w:pPr>
      <w:rPr>
        <w:rFonts w:ascii="Symbol" w:hAnsi="Symbol" w:hint="default"/>
      </w:rPr>
    </w:lvl>
  </w:abstractNum>
  <w:abstractNum w:abstractNumId="1" w15:restartNumberingAfterBreak="0">
    <w:nsid w:val="0008551F"/>
    <w:multiLevelType w:val="hybridMultilevel"/>
    <w:tmpl w:val="AAAC22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11327A"/>
    <w:multiLevelType w:val="multilevel"/>
    <w:tmpl w:val="39C82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3A4242"/>
    <w:multiLevelType w:val="hybridMultilevel"/>
    <w:tmpl w:val="63927300"/>
    <w:lvl w:ilvl="0" w:tplc="DBA8628C">
      <w:start w:val="1"/>
      <w:numFmt w:val="bullet"/>
      <w:lvlText w:val="­"/>
      <w:lvlJc w:val="left"/>
      <w:pPr>
        <w:ind w:left="2844" w:hanging="360"/>
      </w:pPr>
      <w:rPr>
        <w:rFonts w:ascii="Courier New" w:hAnsi="Courier New" w:hint="default"/>
      </w:rPr>
    </w:lvl>
    <w:lvl w:ilvl="1" w:tplc="04150003">
      <w:start w:val="1"/>
      <w:numFmt w:val="bullet"/>
      <w:lvlText w:val="o"/>
      <w:lvlJc w:val="left"/>
      <w:pPr>
        <w:ind w:left="3564" w:hanging="360"/>
      </w:pPr>
      <w:rPr>
        <w:rFonts w:ascii="Courier New" w:hAnsi="Courier New" w:cs="Courier New" w:hint="default"/>
      </w:rPr>
    </w:lvl>
    <w:lvl w:ilvl="2" w:tplc="04150005">
      <w:start w:val="1"/>
      <w:numFmt w:val="bullet"/>
      <w:lvlText w:val=""/>
      <w:lvlJc w:val="left"/>
      <w:pPr>
        <w:ind w:left="4284" w:hanging="360"/>
      </w:pPr>
      <w:rPr>
        <w:rFonts w:ascii="Wingdings" w:hAnsi="Wingdings" w:hint="default"/>
      </w:rPr>
    </w:lvl>
    <w:lvl w:ilvl="3" w:tplc="0415000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 w15:restartNumberingAfterBreak="0">
    <w:nsid w:val="06436D64"/>
    <w:multiLevelType w:val="hybridMultilevel"/>
    <w:tmpl w:val="E7DEBA0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13D0D9"/>
    <w:multiLevelType w:val="multilevel"/>
    <w:tmpl w:val="90D82D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FF1C08"/>
    <w:multiLevelType w:val="multilevel"/>
    <w:tmpl w:val="8850D022"/>
    <w:lvl w:ilvl="0">
      <w:start w:val="1"/>
      <w:numFmt w:val="upperLetter"/>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0B26D15E"/>
    <w:multiLevelType w:val="hybridMultilevel"/>
    <w:tmpl w:val="65DAFC72"/>
    <w:lvl w:ilvl="0" w:tplc="3CE0CBCE">
      <w:start w:val="1"/>
      <w:numFmt w:val="bullet"/>
      <w:lvlText w:val="·"/>
      <w:lvlJc w:val="left"/>
      <w:pPr>
        <w:ind w:left="720" w:hanging="360"/>
      </w:pPr>
      <w:rPr>
        <w:rFonts w:ascii="Symbol" w:hAnsi="Symbol" w:hint="default"/>
      </w:rPr>
    </w:lvl>
    <w:lvl w:ilvl="1" w:tplc="3FF4E3CA">
      <w:start w:val="1"/>
      <w:numFmt w:val="bullet"/>
      <w:lvlText w:val="o"/>
      <w:lvlJc w:val="left"/>
      <w:pPr>
        <w:ind w:left="1440" w:hanging="360"/>
      </w:pPr>
      <w:rPr>
        <w:rFonts w:ascii="Courier New" w:hAnsi="Courier New" w:hint="default"/>
      </w:rPr>
    </w:lvl>
    <w:lvl w:ilvl="2" w:tplc="57CEF7EA">
      <w:start w:val="1"/>
      <w:numFmt w:val="bullet"/>
      <w:lvlText w:val=""/>
      <w:lvlJc w:val="left"/>
      <w:pPr>
        <w:ind w:left="2160" w:hanging="360"/>
      </w:pPr>
      <w:rPr>
        <w:rFonts w:ascii="Wingdings" w:hAnsi="Wingdings" w:hint="default"/>
      </w:rPr>
    </w:lvl>
    <w:lvl w:ilvl="3" w:tplc="96943C3E">
      <w:start w:val="1"/>
      <w:numFmt w:val="bullet"/>
      <w:lvlText w:val=""/>
      <w:lvlJc w:val="left"/>
      <w:pPr>
        <w:ind w:left="2880" w:hanging="360"/>
      </w:pPr>
      <w:rPr>
        <w:rFonts w:ascii="Symbol" w:hAnsi="Symbol" w:hint="default"/>
      </w:rPr>
    </w:lvl>
    <w:lvl w:ilvl="4" w:tplc="90EE6B0E">
      <w:start w:val="1"/>
      <w:numFmt w:val="bullet"/>
      <w:lvlText w:val="o"/>
      <w:lvlJc w:val="left"/>
      <w:pPr>
        <w:ind w:left="3600" w:hanging="360"/>
      </w:pPr>
      <w:rPr>
        <w:rFonts w:ascii="Courier New" w:hAnsi="Courier New" w:hint="default"/>
      </w:rPr>
    </w:lvl>
    <w:lvl w:ilvl="5" w:tplc="57FE2612">
      <w:start w:val="1"/>
      <w:numFmt w:val="bullet"/>
      <w:lvlText w:val=""/>
      <w:lvlJc w:val="left"/>
      <w:pPr>
        <w:ind w:left="4320" w:hanging="360"/>
      </w:pPr>
      <w:rPr>
        <w:rFonts w:ascii="Wingdings" w:hAnsi="Wingdings" w:hint="default"/>
      </w:rPr>
    </w:lvl>
    <w:lvl w:ilvl="6" w:tplc="E7DA3240">
      <w:start w:val="1"/>
      <w:numFmt w:val="bullet"/>
      <w:lvlText w:val=""/>
      <w:lvlJc w:val="left"/>
      <w:pPr>
        <w:ind w:left="5040" w:hanging="360"/>
      </w:pPr>
      <w:rPr>
        <w:rFonts w:ascii="Symbol" w:hAnsi="Symbol" w:hint="default"/>
      </w:rPr>
    </w:lvl>
    <w:lvl w:ilvl="7" w:tplc="160661F4">
      <w:start w:val="1"/>
      <w:numFmt w:val="bullet"/>
      <w:lvlText w:val="o"/>
      <w:lvlJc w:val="left"/>
      <w:pPr>
        <w:ind w:left="5760" w:hanging="360"/>
      </w:pPr>
      <w:rPr>
        <w:rFonts w:ascii="Courier New" w:hAnsi="Courier New" w:hint="default"/>
      </w:rPr>
    </w:lvl>
    <w:lvl w:ilvl="8" w:tplc="298EA45E">
      <w:start w:val="1"/>
      <w:numFmt w:val="bullet"/>
      <w:lvlText w:val=""/>
      <w:lvlJc w:val="left"/>
      <w:pPr>
        <w:ind w:left="6480" w:hanging="360"/>
      </w:pPr>
      <w:rPr>
        <w:rFonts w:ascii="Wingdings" w:hAnsi="Wingdings" w:hint="default"/>
      </w:rPr>
    </w:lvl>
  </w:abstractNum>
  <w:abstractNum w:abstractNumId="8" w15:restartNumberingAfterBreak="0">
    <w:nsid w:val="0BCAD6C0"/>
    <w:multiLevelType w:val="hybridMultilevel"/>
    <w:tmpl w:val="FFFFFFFF"/>
    <w:lvl w:ilvl="0" w:tplc="27067170">
      <w:start w:val="1"/>
      <w:numFmt w:val="decimal"/>
      <w:lvlText w:val="%1."/>
      <w:lvlJc w:val="left"/>
      <w:pPr>
        <w:ind w:left="720" w:hanging="360"/>
      </w:pPr>
    </w:lvl>
    <w:lvl w:ilvl="1" w:tplc="594AC090">
      <w:start w:val="1"/>
      <w:numFmt w:val="lowerLetter"/>
      <w:lvlText w:val="%2."/>
      <w:lvlJc w:val="left"/>
      <w:pPr>
        <w:ind w:left="1440" w:hanging="360"/>
      </w:pPr>
    </w:lvl>
    <w:lvl w:ilvl="2" w:tplc="0B041574">
      <w:start w:val="1"/>
      <w:numFmt w:val="lowerRoman"/>
      <w:lvlText w:val="%3."/>
      <w:lvlJc w:val="right"/>
      <w:pPr>
        <w:ind w:left="2160" w:hanging="180"/>
      </w:pPr>
    </w:lvl>
    <w:lvl w:ilvl="3" w:tplc="7562CE72">
      <w:start w:val="1"/>
      <w:numFmt w:val="decimal"/>
      <w:lvlText w:val="%4."/>
      <w:lvlJc w:val="left"/>
      <w:pPr>
        <w:ind w:left="2880" w:hanging="360"/>
      </w:pPr>
    </w:lvl>
    <w:lvl w:ilvl="4" w:tplc="A3522634">
      <w:start w:val="1"/>
      <w:numFmt w:val="lowerLetter"/>
      <w:lvlText w:val="%5."/>
      <w:lvlJc w:val="left"/>
      <w:pPr>
        <w:ind w:left="3600" w:hanging="360"/>
      </w:pPr>
    </w:lvl>
    <w:lvl w:ilvl="5" w:tplc="FAD6980E">
      <w:start w:val="1"/>
      <w:numFmt w:val="lowerRoman"/>
      <w:lvlText w:val="%6."/>
      <w:lvlJc w:val="right"/>
      <w:pPr>
        <w:ind w:left="4320" w:hanging="180"/>
      </w:pPr>
    </w:lvl>
    <w:lvl w:ilvl="6" w:tplc="DC90023A">
      <w:start w:val="1"/>
      <w:numFmt w:val="decimal"/>
      <w:lvlText w:val="%7."/>
      <w:lvlJc w:val="left"/>
      <w:pPr>
        <w:ind w:left="5040" w:hanging="360"/>
      </w:pPr>
    </w:lvl>
    <w:lvl w:ilvl="7" w:tplc="C608D1C0">
      <w:start w:val="1"/>
      <w:numFmt w:val="lowerLetter"/>
      <w:lvlText w:val="%8."/>
      <w:lvlJc w:val="left"/>
      <w:pPr>
        <w:ind w:left="5760" w:hanging="360"/>
      </w:pPr>
    </w:lvl>
    <w:lvl w:ilvl="8" w:tplc="640A2858">
      <w:start w:val="1"/>
      <w:numFmt w:val="lowerRoman"/>
      <w:lvlText w:val="%9."/>
      <w:lvlJc w:val="right"/>
      <w:pPr>
        <w:ind w:left="6480" w:hanging="180"/>
      </w:pPr>
    </w:lvl>
  </w:abstractNum>
  <w:abstractNum w:abstractNumId="9" w15:restartNumberingAfterBreak="0">
    <w:nsid w:val="0CA2B274"/>
    <w:multiLevelType w:val="multilevel"/>
    <w:tmpl w:val="565C61A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0FE22A"/>
    <w:multiLevelType w:val="hybridMultilevel"/>
    <w:tmpl w:val="FFFFFFFF"/>
    <w:lvl w:ilvl="0" w:tplc="35F09F26">
      <w:start w:val="1"/>
      <w:numFmt w:val="bullet"/>
      <w:lvlText w:val=""/>
      <w:lvlJc w:val="left"/>
      <w:pPr>
        <w:ind w:left="720" w:hanging="360"/>
      </w:pPr>
      <w:rPr>
        <w:rFonts w:ascii="Symbol" w:hAnsi="Symbol" w:hint="default"/>
      </w:rPr>
    </w:lvl>
    <w:lvl w:ilvl="1" w:tplc="030C49D2">
      <w:start w:val="1"/>
      <w:numFmt w:val="bullet"/>
      <w:lvlText w:val="o"/>
      <w:lvlJc w:val="left"/>
      <w:pPr>
        <w:ind w:left="1440" w:hanging="360"/>
      </w:pPr>
      <w:rPr>
        <w:rFonts w:ascii="Courier New" w:hAnsi="Courier New" w:hint="default"/>
      </w:rPr>
    </w:lvl>
    <w:lvl w:ilvl="2" w:tplc="4DEA9E7A">
      <w:start w:val="1"/>
      <w:numFmt w:val="bullet"/>
      <w:lvlText w:val=""/>
      <w:lvlJc w:val="left"/>
      <w:pPr>
        <w:ind w:left="2160" w:hanging="360"/>
      </w:pPr>
      <w:rPr>
        <w:rFonts w:ascii="Wingdings" w:hAnsi="Wingdings" w:hint="default"/>
      </w:rPr>
    </w:lvl>
    <w:lvl w:ilvl="3" w:tplc="33802324">
      <w:start w:val="1"/>
      <w:numFmt w:val="bullet"/>
      <w:lvlText w:val=""/>
      <w:lvlJc w:val="left"/>
      <w:pPr>
        <w:ind w:left="2880" w:hanging="360"/>
      </w:pPr>
      <w:rPr>
        <w:rFonts w:ascii="Symbol" w:hAnsi="Symbol" w:hint="default"/>
      </w:rPr>
    </w:lvl>
    <w:lvl w:ilvl="4" w:tplc="97563420">
      <w:start w:val="1"/>
      <w:numFmt w:val="bullet"/>
      <w:lvlText w:val="o"/>
      <w:lvlJc w:val="left"/>
      <w:pPr>
        <w:ind w:left="3600" w:hanging="360"/>
      </w:pPr>
      <w:rPr>
        <w:rFonts w:ascii="Courier New" w:hAnsi="Courier New" w:hint="default"/>
      </w:rPr>
    </w:lvl>
    <w:lvl w:ilvl="5" w:tplc="18EEE9E4">
      <w:start w:val="1"/>
      <w:numFmt w:val="bullet"/>
      <w:lvlText w:val=""/>
      <w:lvlJc w:val="left"/>
      <w:pPr>
        <w:ind w:left="4320" w:hanging="360"/>
      </w:pPr>
      <w:rPr>
        <w:rFonts w:ascii="Wingdings" w:hAnsi="Wingdings" w:hint="default"/>
      </w:rPr>
    </w:lvl>
    <w:lvl w:ilvl="6" w:tplc="6E425F12">
      <w:start w:val="1"/>
      <w:numFmt w:val="bullet"/>
      <w:lvlText w:val=""/>
      <w:lvlJc w:val="left"/>
      <w:pPr>
        <w:ind w:left="5040" w:hanging="360"/>
      </w:pPr>
      <w:rPr>
        <w:rFonts w:ascii="Symbol" w:hAnsi="Symbol" w:hint="default"/>
      </w:rPr>
    </w:lvl>
    <w:lvl w:ilvl="7" w:tplc="89EA76FC">
      <w:start w:val="1"/>
      <w:numFmt w:val="bullet"/>
      <w:lvlText w:val="o"/>
      <w:lvlJc w:val="left"/>
      <w:pPr>
        <w:ind w:left="5760" w:hanging="360"/>
      </w:pPr>
      <w:rPr>
        <w:rFonts w:ascii="Courier New" w:hAnsi="Courier New" w:hint="default"/>
      </w:rPr>
    </w:lvl>
    <w:lvl w:ilvl="8" w:tplc="05D06902">
      <w:start w:val="1"/>
      <w:numFmt w:val="bullet"/>
      <w:lvlText w:val=""/>
      <w:lvlJc w:val="left"/>
      <w:pPr>
        <w:ind w:left="6480" w:hanging="360"/>
      </w:pPr>
      <w:rPr>
        <w:rFonts w:ascii="Wingdings" w:hAnsi="Wingdings" w:hint="default"/>
      </w:rPr>
    </w:lvl>
  </w:abstractNum>
  <w:abstractNum w:abstractNumId="11" w15:restartNumberingAfterBreak="0">
    <w:nsid w:val="19087099"/>
    <w:multiLevelType w:val="multilevel"/>
    <w:tmpl w:val="A3FC8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4F1C6B"/>
    <w:multiLevelType w:val="multilevel"/>
    <w:tmpl w:val="0A6C204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4B4999"/>
    <w:multiLevelType w:val="multilevel"/>
    <w:tmpl w:val="0A6C204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CB957D3"/>
    <w:multiLevelType w:val="hybridMultilevel"/>
    <w:tmpl w:val="FFFFFFFF"/>
    <w:lvl w:ilvl="0" w:tplc="20B07D9E">
      <w:start w:val="1"/>
      <w:numFmt w:val="bullet"/>
      <w:lvlText w:val=""/>
      <w:lvlJc w:val="left"/>
      <w:pPr>
        <w:ind w:left="720" w:hanging="360"/>
      </w:pPr>
      <w:rPr>
        <w:rFonts w:ascii="Symbol" w:hAnsi="Symbol" w:hint="default"/>
      </w:rPr>
    </w:lvl>
    <w:lvl w:ilvl="1" w:tplc="7E8E93AE">
      <w:start w:val="1"/>
      <w:numFmt w:val="bullet"/>
      <w:lvlText w:val="o"/>
      <w:lvlJc w:val="left"/>
      <w:pPr>
        <w:ind w:left="1440" w:hanging="360"/>
      </w:pPr>
      <w:rPr>
        <w:rFonts w:ascii="Courier New" w:hAnsi="Courier New" w:hint="default"/>
      </w:rPr>
    </w:lvl>
    <w:lvl w:ilvl="2" w:tplc="DF369AE2">
      <w:start w:val="1"/>
      <w:numFmt w:val="bullet"/>
      <w:lvlText w:val=""/>
      <w:lvlJc w:val="left"/>
      <w:pPr>
        <w:ind w:left="2160" w:hanging="360"/>
      </w:pPr>
      <w:rPr>
        <w:rFonts w:ascii="Wingdings" w:hAnsi="Wingdings" w:hint="default"/>
      </w:rPr>
    </w:lvl>
    <w:lvl w:ilvl="3" w:tplc="4328D7DC">
      <w:start w:val="1"/>
      <w:numFmt w:val="bullet"/>
      <w:lvlText w:val=""/>
      <w:lvlJc w:val="left"/>
      <w:pPr>
        <w:ind w:left="2880" w:hanging="360"/>
      </w:pPr>
      <w:rPr>
        <w:rFonts w:ascii="Symbol" w:hAnsi="Symbol" w:hint="default"/>
      </w:rPr>
    </w:lvl>
    <w:lvl w:ilvl="4" w:tplc="A3BE3F2C">
      <w:start w:val="1"/>
      <w:numFmt w:val="bullet"/>
      <w:lvlText w:val="o"/>
      <w:lvlJc w:val="left"/>
      <w:pPr>
        <w:ind w:left="3600" w:hanging="360"/>
      </w:pPr>
      <w:rPr>
        <w:rFonts w:ascii="Courier New" w:hAnsi="Courier New" w:hint="default"/>
      </w:rPr>
    </w:lvl>
    <w:lvl w:ilvl="5" w:tplc="DF4ABD98">
      <w:start w:val="1"/>
      <w:numFmt w:val="bullet"/>
      <w:lvlText w:val=""/>
      <w:lvlJc w:val="left"/>
      <w:pPr>
        <w:ind w:left="4320" w:hanging="360"/>
      </w:pPr>
      <w:rPr>
        <w:rFonts w:ascii="Wingdings" w:hAnsi="Wingdings" w:hint="default"/>
      </w:rPr>
    </w:lvl>
    <w:lvl w:ilvl="6" w:tplc="F1F03C88">
      <w:start w:val="1"/>
      <w:numFmt w:val="bullet"/>
      <w:lvlText w:val=""/>
      <w:lvlJc w:val="left"/>
      <w:pPr>
        <w:ind w:left="5040" w:hanging="360"/>
      </w:pPr>
      <w:rPr>
        <w:rFonts w:ascii="Symbol" w:hAnsi="Symbol" w:hint="default"/>
      </w:rPr>
    </w:lvl>
    <w:lvl w:ilvl="7" w:tplc="9EE8A062">
      <w:start w:val="1"/>
      <w:numFmt w:val="bullet"/>
      <w:lvlText w:val="o"/>
      <w:lvlJc w:val="left"/>
      <w:pPr>
        <w:ind w:left="5760" w:hanging="360"/>
      </w:pPr>
      <w:rPr>
        <w:rFonts w:ascii="Courier New" w:hAnsi="Courier New" w:hint="default"/>
      </w:rPr>
    </w:lvl>
    <w:lvl w:ilvl="8" w:tplc="4D1A503C">
      <w:start w:val="1"/>
      <w:numFmt w:val="bullet"/>
      <w:lvlText w:val=""/>
      <w:lvlJc w:val="left"/>
      <w:pPr>
        <w:ind w:left="6480" w:hanging="360"/>
      </w:pPr>
      <w:rPr>
        <w:rFonts w:ascii="Wingdings" w:hAnsi="Wingdings" w:hint="default"/>
      </w:rPr>
    </w:lvl>
  </w:abstractNum>
  <w:abstractNum w:abstractNumId="15" w15:restartNumberingAfterBreak="0">
    <w:nsid w:val="1D5D3A97"/>
    <w:multiLevelType w:val="hybridMultilevel"/>
    <w:tmpl w:val="06DA3D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554A54"/>
    <w:multiLevelType w:val="hybridMultilevel"/>
    <w:tmpl w:val="10C0DC2A"/>
    <w:lvl w:ilvl="0" w:tplc="BB4252F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8810C7"/>
    <w:multiLevelType w:val="hybridMultilevel"/>
    <w:tmpl w:val="EBB4EC9E"/>
    <w:lvl w:ilvl="0" w:tplc="0415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046550"/>
    <w:multiLevelType w:val="multilevel"/>
    <w:tmpl w:val="1A7A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4B3A16"/>
    <w:multiLevelType w:val="hybridMultilevel"/>
    <w:tmpl w:val="1B3C111A"/>
    <w:lvl w:ilvl="0" w:tplc="04150003">
      <w:start w:val="1"/>
      <w:numFmt w:val="bullet"/>
      <w:lvlText w:val="o"/>
      <w:lvlJc w:val="left"/>
      <w:pPr>
        <w:ind w:left="1712" w:hanging="360"/>
      </w:pPr>
      <w:rPr>
        <w:rFonts w:ascii="Courier New" w:hAnsi="Courier New" w:cs="Courier New" w:hint="default"/>
      </w:rPr>
    </w:lvl>
    <w:lvl w:ilvl="1" w:tplc="FFFFFFFF" w:tentative="1">
      <w:start w:val="1"/>
      <w:numFmt w:val="bullet"/>
      <w:lvlText w:val="o"/>
      <w:lvlJc w:val="left"/>
      <w:pPr>
        <w:ind w:left="2432" w:hanging="360"/>
      </w:pPr>
      <w:rPr>
        <w:rFonts w:ascii="Courier New" w:hAnsi="Courier New" w:cs="Courier New" w:hint="default"/>
      </w:rPr>
    </w:lvl>
    <w:lvl w:ilvl="2" w:tplc="FFFFFFFF" w:tentative="1">
      <w:start w:val="1"/>
      <w:numFmt w:val="bullet"/>
      <w:lvlText w:val=""/>
      <w:lvlJc w:val="left"/>
      <w:pPr>
        <w:ind w:left="3152" w:hanging="360"/>
      </w:pPr>
      <w:rPr>
        <w:rFonts w:ascii="Wingdings" w:hAnsi="Wingdings" w:hint="default"/>
      </w:rPr>
    </w:lvl>
    <w:lvl w:ilvl="3" w:tplc="FFFFFFFF" w:tentative="1">
      <w:start w:val="1"/>
      <w:numFmt w:val="bullet"/>
      <w:lvlText w:val=""/>
      <w:lvlJc w:val="left"/>
      <w:pPr>
        <w:ind w:left="3872" w:hanging="360"/>
      </w:pPr>
      <w:rPr>
        <w:rFonts w:ascii="Symbol" w:hAnsi="Symbol" w:hint="default"/>
      </w:rPr>
    </w:lvl>
    <w:lvl w:ilvl="4" w:tplc="FFFFFFFF" w:tentative="1">
      <w:start w:val="1"/>
      <w:numFmt w:val="bullet"/>
      <w:lvlText w:val="o"/>
      <w:lvlJc w:val="left"/>
      <w:pPr>
        <w:ind w:left="4592" w:hanging="360"/>
      </w:pPr>
      <w:rPr>
        <w:rFonts w:ascii="Courier New" w:hAnsi="Courier New" w:cs="Courier New" w:hint="default"/>
      </w:rPr>
    </w:lvl>
    <w:lvl w:ilvl="5" w:tplc="FFFFFFFF" w:tentative="1">
      <w:start w:val="1"/>
      <w:numFmt w:val="bullet"/>
      <w:lvlText w:val=""/>
      <w:lvlJc w:val="left"/>
      <w:pPr>
        <w:ind w:left="5312" w:hanging="360"/>
      </w:pPr>
      <w:rPr>
        <w:rFonts w:ascii="Wingdings" w:hAnsi="Wingdings" w:hint="default"/>
      </w:rPr>
    </w:lvl>
    <w:lvl w:ilvl="6" w:tplc="FFFFFFFF" w:tentative="1">
      <w:start w:val="1"/>
      <w:numFmt w:val="bullet"/>
      <w:lvlText w:val=""/>
      <w:lvlJc w:val="left"/>
      <w:pPr>
        <w:ind w:left="6032" w:hanging="360"/>
      </w:pPr>
      <w:rPr>
        <w:rFonts w:ascii="Symbol" w:hAnsi="Symbol" w:hint="default"/>
      </w:rPr>
    </w:lvl>
    <w:lvl w:ilvl="7" w:tplc="FFFFFFFF" w:tentative="1">
      <w:start w:val="1"/>
      <w:numFmt w:val="bullet"/>
      <w:lvlText w:val="o"/>
      <w:lvlJc w:val="left"/>
      <w:pPr>
        <w:ind w:left="6752" w:hanging="360"/>
      </w:pPr>
      <w:rPr>
        <w:rFonts w:ascii="Courier New" w:hAnsi="Courier New" w:cs="Courier New" w:hint="default"/>
      </w:rPr>
    </w:lvl>
    <w:lvl w:ilvl="8" w:tplc="FFFFFFFF" w:tentative="1">
      <w:start w:val="1"/>
      <w:numFmt w:val="bullet"/>
      <w:lvlText w:val=""/>
      <w:lvlJc w:val="left"/>
      <w:pPr>
        <w:ind w:left="7472" w:hanging="360"/>
      </w:pPr>
      <w:rPr>
        <w:rFonts w:ascii="Wingdings" w:hAnsi="Wingdings" w:hint="default"/>
      </w:rPr>
    </w:lvl>
  </w:abstractNum>
  <w:abstractNum w:abstractNumId="20" w15:restartNumberingAfterBreak="0">
    <w:nsid w:val="26928FEF"/>
    <w:multiLevelType w:val="multilevel"/>
    <w:tmpl w:val="054EF796"/>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E10ADD"/>
    <w:multiLevelType w:val="hybridMultilevel"/>
    <w:tmpl w:val="800602CA"/>
    <w:lvl w:ilvl="0" w:tplc="805CCDB0">
      <w:start w:val="1"/>
      <w:numFmt w:val="bullet"/>
      <w:lvlText w:val=""/>
      <w:lvlJc w:val="left"/>
      <w:pPr>
        <w:ind w:left="720" w:hanging="360"/>
      </w:pPr>
      <w:rPr>
        <w:rFonts w:ascii="Symbol" w:hAnsi="Symbol" w:hint="default"/>
      </w:rPr>
    </w:lvl>
    <w:lvl w:ilvl="1" w:tplc="554250FC">
      <w:start w:val="1"/>
      <w:numFmt w:val="bullet"/>
      <w:lvlText w:val=""/>
      <w:lvlJc w:val="left"/>
      <w:pPr>
        <w:ind w:left="1440" w:hanging="360"/>
      </w:pPr>
      <w:rPr>
        <w:rFonts w:ascii="Symbol" w:hAnsi="Symbol" w:hint="default"/>
      </w:rPr>
    </w:lvl>
    <w:lvl w:ilvl="2" w:tplc="5AEC6B6E">
      <w:start w:val="1"/>
      <w:numFmt w:val="bullet"/>
      <w:lvlText w:val=""/>
      <w:lvlJc w:val="left"/>
      <w:pPr>
        <w:ind w:left="2160" w:hanging="360"/>
      </w:pPr>
      <w:rPr>
        <w:rFonts w:ascii="Wingdings" w:hAnsi="Wingdings" w:hint="default"/>
      </w:rPr>
    </w:lvl>
    <w:lvl w:ilvl="3" w:tplc="C01220C4">
      <w:start w:val="1"/>
      <w:numFmt w:val="bullet"/>
      <w:lvlText w:val=""/>
      <w:lvlJc w:val="left"/>
      <w:pPr>
        <w:ind w:left="2880" w:hanging="360"/>
      </w:pPr>
      <w:rPr>
        <w:rFonts w:ascii="Symbol" w:hAnsi="Symbol" w:hint="default"/>
      </w:rPr>
    </w:lvl>
    <w:lvl w:ilvl="4" w:tplc="6CAC6F4E">
      <w:start w:val="1"/>
      <w:numFmt w:val="bullet"/>
      <w:lvlText w:val="o"/>
      <w:lvlJc w:val="left"/>
      <w:pPr>
        <w:ind w:left="3600" w:hanging="360"/>
      </w:pPr>
      <w:rPr>
        <w:rFonts w:ascii="Courier New" w:hAnsi="Courier New" w:hint="default"/>
      </w:rPr>
    </w:lvl>
    <w:lvl w:ilvl="5" w:tplc="8FFADCE6">
      <w:start w:val="1"/>
      <w:numFmt w:val="bullet"/>
      <w:lvlText w:val=""/>
      <w:lvlJc w:val="left"/>
      <w:pPr>
        <w:ind w:left="4320" w:hanging="360"/>
      </w:pPr>
      <w:rPr>
        <w:rFonts w:ascii="Wingdings" w:hAnsi="Wingdings" w:hint="default"/>
      </w:rPr>
    </w:lvl>
    <w:lvl w:ilvl="6" w:tplc="E798459E">
      <w:start w:val="1"/>
      <w:numFmt w:val="bullet"/>
      <w:lvlText w:val=""/>
      <w:lvlJc w:val="left"/>
      <w:pPr>
        <w:ind w:left="5040" w:hanging="360"/>
      </w:pPr>
      <w:rPr>
        <w:rFonts w:ascii="Symbol" w:hAnsi="Symbol" w:hint="default"/>
      </w:rPr>
    </w:lvl>
    <w:lvl w:ilvl="7" w:tplc="101A1DE2">
      <w:start w:val="1"/>
      <w:numFmt w:val="bullet"/>
      <w:lvlText w:val="o"/>
      <w:lvlJc w:val="left"/>
      <w:pPr>
        <w:ind w:left="5760" w:hanging="360"/>
      </w:pPr>
      <w:rPr>
        <w:rFonts w:ascii="Courier New" w:hAnsi="Courier New" w:hint="default"/>
      </w:rPr>
    </w:lvl>
    <w:lvl w:ilvl="8" w:tplc="C68CA2E6">
      <w:start w:val="1"/>
      <w:numFmt w:val="bullet"/>
      <w:lvlText w:val=""/>
      <w:lvlJc w:val="left"/>
      <w:pPr>
        <w:ind w:left="6480" w:hanging="360"/>
      </w:pPr>
      <w:rPr>
        <w:rFonts w:ascii="Wingdings" w:hAnsi="Wingdings" w:hint="default"/>
      </w:rPr>
    </w:lvl>
  </w:abstractNum>
  <w:abstractNum w:abstractNumId="22" w15:restartNumberingAfterBreak="0">
    <w:nsid w:val="2CE51948"/>
    <w:multiLevelType w:val="hybridMultilevel"/>
    <w:tmpl w:val="A394E77E"/>
    <w:lvl w:ilvl="0" w:tplc="684C898A">
      <w:start w:val="1"/>
      <w:numFmt w:val="bullet"/>
      <w:lvlText w:val="·"/>
      <w:lvlJc w:val="left"/>
      <w:pPr>
        <w:ind w:left="720" w:hanging="360"/>
      </w:pPr>
      <w:rPr>
        <w:rFonts w:ascii="Symbol" w:hAnsi="Symbol" w:hint="default"/>
      </w:rPr>
    </w:lvl>
    <w:lvl w:ilvl="1" w:tplc="06E03928">
      <w:start w:val="1"/>
      <w:numFmt w:val="bullet"/>
      <w:lvlText w:val="o"/>
      <w:lvlJc w:val="left"/>
      <w:pPr>
        <w:ind w:left="1440" w:hanging="360"/>
      </w:pPr>
      <w:rPr>
        <w:rFonts w:ascii="Courier New" w:hAnsi="Courier New" w:hint="default"/>
      </w:rPr>
    </w:lvl>
    <w:lvl w:ilvl="2" w:tplc="0B0AF32A">
      <w:start w:val="1"/>
      <w:numFmt w:val="bullet"/>
      <w:lvlText w:val=""/>
      <w:lvlJc w:val="left"/>
      <w:pPr>
        <w:ind w:left="2160" w:hanging="360"/>
      </w:pPr>
      <w:rPr>
        <w:rFonts w:ascii="Wingdings" w:hAnsi="Wingdings" w:hint="default"/>
      </w:rPr>
    </w:lvl>
    <w:lvl w:ilvl="3" w:tplc="4CE0BFC8">
      <w:start w:val="1"/>
      <w:numFmt w:val="bullet"/>
      <w:lvlText w:val=""/>
      <w:lvlJc w:val="left"/>
      <w:pPr>
        <w:ind w:left="2880" w:hanging="360"/>
      </w:pPr>
      <w:rPr>
        <w:rFonts w:ascii="Symbol" w:hAnsi="Symbol" w:hint="default"/>
      </w:rPr>
    </w:lvl>
    <w:lvl w:ilvl="4" w:tplc="D1622304">
      <w:start w:val="1"/>
      <w:numFmt w:val="bullet"/>
      <w:lvlText w:val="o"/>
      <w:lvlJc w:val="left"/>
      <w:pPr>
        <w:ind w:left="3600" w:hanging="360"/>
      </w:pPr>
      <w:rPr>
        <w:rFonts w:ascii="Courier New" w:hAnsi="Courier New" w:hint="default"/>
      </w:rPr>
    </w:lvl>
    <w:lvl w:ilvl="5" w:tplc="A72E0AA2">
      <w:start w:val="1"/>
      <w:numFmt w:val="bullet"/>
      <w:lvlText w:val=""/>
      <w:lvlJc w:val="left"/>
      <w:pPr>
        <w:ind w:left="4320" w:hanging="360"/>
      </w:pPr>
      <w:rPr>
        <w:rFonts w:ascii="Wingdings" w:hAnsi="Wingdings" w:hint="default"/>
      </w:rPr>
    </w:lvl>
    <w:lvl w:ilvl="6" w:tplc="2D0228D8">
      <w:start w:val="1"/>
      <w:numFmt w:val="bullet"/>
      <w:lvlText w:val=""/>
      <w:lvlJc w:val="left"/>
      <w:pPr>
        <w:ind w:left="5040" w:hanging="360"/>
      </w:pPr>
      <w:rPr>
        <w:rFonts w:ascii="Symbol" w:hAnsi="Symbol" w:hint="default"/>
      </w:rPr>
    </w:lvl>
    <w:lvl w:ilvl="7" w:tplc="3E4EA55E">
      <w:start w:val="1"/>
      <w:numFmt w:val="bullet"/>
      <w:lvlText w:val="o"/>
      <w:lvlJc w:val="left"/>
      <w:pPr>
        <w:ind w:left="5760" w:hanging="360"/>
      </w:pPr>
      <w:rPr>
        <w:rFonts w:ascii="Courier New" w:hAnsi="Courier New" w:hint="default"/>
      </w:rPr>
    </w:lvl>
    <w:lvl w:ilvl="8" w:tplc="7F2C54F8">
      <w:start w:val="1"/>
      <w:numFmt w:val="bullet"/>
      <w:lvlText w:val=""/>
      <w:lvlJc w:val="left"/>
      <w:pPr>
        <w:ind w:left="6480" w:hanging="360"/>
      </w:pPr>
      <w:rPr>
        <w:rFonts w:ascii="Wingdings" w:hAnsi="Wingdings" w:hint="default"/>
      </w:rPr>
    </w:lvl>
  </w:abstractNum>
  <w:abstractNum w:abstractNumId="23" w15:restartNumberingAfterBreak="0">
    <w:nsid w:val="2D79547C"/>
    <w:multiLevelType w:val="hybridMultilevel"/>
    <w:tmpl w:val="CF5CA4F6"/>
    <w:lvl w:ilvl="0" w:tplc="F82C6AD8">
      <w:start w:val="1"/>
      <w:numFmt w:val="bullet"/>
      <w:lvlText w:val="·"/>
      <w:lvlJc w:val="left"/>
      <w:pPr>
        <w:ind w:left="720" w:hanging="360"/>
      </w:pPr>
      <w:rPr>
        <w:rFonts w:ascii="Symbol" w:hAnsi="Symbol" w:hint="default"/>
      </w:rPr>
    </w:lvl>
    <w:lvl w:ilvl="1" w:tplc="742405BE">
      <w:start w:val="1"/>
      <w:numFmt w:val="bullet"/>
      <w:lvlText w:val="o"/>
      <w:lvlJc w:val="left"/>
      <w:pPr>
        <w:ind w:left="1440" w:hanging="360"/>
      </w:pPr>
      <w:rPr>
        <w:rFonts w:ascii="Courier New" w:hAnsi="Courier New" w:hint="default"/>
      </w:rPr>
    </w:lvl>
    <w:lvl w:ilvl="2" w:tplc="A8C047B0">
      <w:start w:val="1"/>
      <w:numFmt w:val="bullet"/>
      <w:lvlText w:val=""/>
      <w:lvlJc w:val="left"/>
      <w:pPr>
        <w:ind w:left="2160" w:hanging="360"/>
      </w:pPr>
      <w:rPr>
        <w:rFonts w:ascii="Wingdings" w:hAnsi="Wingdings" w:hint="default"/>
      </w:rPr>
    </w:lvl>
    <w:lvl w:ilvl="3" w:tplc="809447AA">
      <w:start w:val="1"/>
      <w:numFmt w:val="bullet"/>
      <w:lvlText w:val=""/>
      <w:lvlJc w:val="left"/>
      <w:pPr>
        <w:ind w:left="2880" w:hanging="360"/>
      </w:pPr>
      <w:rPr>
        <w:rFonts w:ascii="Symbol" w:hAnsi="Symbol" w:hint="default"/>
      </w:rPr>
    </w:lvl>
    <w:lvl w:ilvl="4" w:tplc="99863102">
      <w:start w:val="1"/>
      <w:numFmt w:val="bullet"/>
      <w:lvlText w:val="o"/>
      <w:lvlJc w:val="left"/>
      <w:pPr>
        <w:ind w:left="3600" w:hanging="360"/>
      </w:pPr>
      <w:rPr>
        <w:rFonts w:ascii="Courier New" w:hAnsi="Courier New" w:hint="default"/>
      </w:rPr>
    </w:lvl>
    <w:lvl w:ilvl="5" w:tplc="9342B4AE">
      <w:start w:val="1"/>
      <w:numFmt w:val="bullet"/>
      <w:lvlText w:val=""/>
      <w:lvlJc w:val="left"/>
      <w:pPr>
        <w:ind w:left="4320" w:hanging="360"/>
      </w:pPr>
      <w:rPr>
        <w:rFonts w:ascii="Wingdings" w:hAnsi="Wingdings" w:hint="default"/>
      </w:rPr>
    </w:lvl>
    <w:lvl w:ilvl="6" w:tplc="E7B82EAE">
      <w:start w:val="1"/>
      <w:numFmt w:val="bullet"/>
      <w:lvlText w:val=""/>
      <w:lvlJc w:val="left"/>
      <w:pPr>
        <w:ind w:left="5040" w:hanging="360"/>
      </w:pPr>
      <w:rPr>
        <w:rFonts w:ascii="Symbol" w:hAnsi="Symbol" w:hint="default"/>
      </w:rPr>
    </w:lvl>
    <w:lvl w:ilvl="7" w:tplc="20C0D36E">
      <w:start w:val="1"/>
      <w:numFmt w:val="bullet"/>
      <w:lvlText w:val="o"/>
      <w:lvlJc w:val="left"/>
      <w:pPr>
        <w:ind w:left="5760" w:hanging="360"/>
      </w:pPr>
      <w:rPr>
        <w:rFonts w:ascii="Courier New" w:hAnsi="Courier New" w:hint="default"/>
      </w:rPr>
    </w:lvl>
    <w:lvl w:ilvl="8" w:tplc="9A785FFA">
      <w:start w:val="1"/>
      <w:numFmt w:val="bullet"/>
      <w:lvlText w:val=""/>
      <w:lvlJc w:val="left"/>
      <w:pPr>
        <w:ind w:left="6480" w:hanging="360"/>
      </w:pPr>
      <w:rPr>
        <w:rFonts w:ascii="Wingdings" w:hAnsi="Wingdings" w:hint="default"/>
      </w:rPr>
    </w:lvl>
  </w:abstractNum>
  <w:abstractNum w:abstractNumId="24" w15:restartNumberingAfterBreak="0">
    <w:nsid w:val="2F05C52F"/>
    <w:multiLevelType w:val="hybridMultilevel"/>
    <w:tmpl w:val="FFFFFFFF"/>
    <w:lvl w:ilvl="0" w:tplc="39EEE054">
      <w:start w:val="1"/>
      <w:numFmt w:val="bullet"/>
      <w:lvlText w:val=""/>
      <w:lvlJc w:val="left"/>
      <w:pPr>
        <w:ind w:left="720" w:hanging="360"/>
      </w:pPr>
      <w:rPr>
        <w:rFonts w:ascii="Symbol" w:hAnsi="Symbol" w:hint="default"/>
      </w:rPr>
    </w:lvl>
    <w:lvl w:ilvl="1" w:tplc="73A04CC8">
      <w:start w:val="1"/>
      <w:numFmt w:val="bullet"/>
      <w:lvlText w:val="o"/>
      <w:lvlJc w:val="left"/>
      <w:pPr>
        <w:ind w:left="1440" w:hanging="360"/>
      </w:pPr>
      <w:rPr>
        <w:rFonts w:ascii="Courier New" w:hAnsi="Courier New" w:hint="default"/>
      </w:rPr>
    </w:lvl>
    <w:lvl w:ilvl="2" w:tplc="20747668">
      <w:start w:val="1"/>
      <w:numFmt w:val="bullet"/>
      <w:lvlText w:val=""/>
      <w:lvlJc w:val="left"/>
      <w:pPr>
        <w:ind w:left="2160" w:hanging="360"/>
      </w:pPr>
      <w:rPr>
        <w:rFonts w:ascii="Wingdings" w:hAnsi="Wingdings" w:hint="default"/>
      </w:rPr>
    </w:lvl>
    <w:lvl w:ilvl="3" w:tplc="EEACEB12">
      <w:start w:val="1"/>
      <w:numFmt w:val="bullet"/>
      <w:lvlText w:val=""/>
      <w:lvlJc w:val="left"/>
      <w:pPr>
        <w:ind w:left="2880" w:hanging="360"/>
      </w:pPr>
      <w:rPr>
        <w:rFonts w:ascii="Symbol" w:hAnsi="Symbol" w:hint="default"/>
      </w:rPr>
    </w:lvl>
    <w:lvl w:ilvl="4" w:tplc="B22CBE6C">
      <w:start w:val="1"/>
      <w:numFmt w:val="bullet"/>
      <w:lvlText w:val="o"/>
      <w:lvlJc w:val="left"/>
      <w:pPr>
        <w:ind w:left="3600" w:hanging="360"/>
      </w:pPr>
      <w:rPr>
        <w:rFonts w:ascii="Courier New" w:hAnsi="Courier New" w:hint="default"/>
      </w:rPr>
    </w:lvl>
    <w:lvl w:ilvl="5" w:tplc="AD36730E">
      <w:start w:val="1"/>
      <w:numFmt w:val="bullet"/>
      <w:lvlText w:val=""/>
      <w:lvlJc w:val="left"/>
      <w:pPr>
        <w:ind w:left="4320" w:hanging="360"/>
      </w:pPr>
      <w:rPr>
        <w:rFonts w:ascii="Wingdings" w:hAnsi="Wingdings" w:hint="default"/>
      </w:rPr>
    </w:lvl>
    <w:lvl w:ilvl="6" w:tplc="5D62001A">
      <w:start w:val="1"/>
      <w:numFmt w:val="bullet"/>
      <w:lvlText w:val=""/>
      <w:lvlJc w:val="left"/>
      <w:pPr>
        <w:ind w:left="5040" w:hanging="360"/>
      </w:pPr>
      <w:rPr>
        <w:rFonts w:ascii="Symbol" w:hAnsi="Symbol" w:hint="default"/>
      </w:rPr>
    </w:lvl>
    <w:lvl w:ilvl="7" w:tplc="27EE406C">
      <w:start w:val="1"/>
      <w:numFmt w:val="bullet"/>
      <w:lvlText w:val="o"/>
      <w:lvlJc w:val="left"/>
      <w:pPr>
        <w:ind w:left="5760" w:hanging="360"/>
      </w:pPr>
      <w:rPr>
        <w:rFonts w:ascii="Courier New" w:hAnsi="Courier New" w:hint="default"/>
      </w:rPr>
    </w:lvl>
    <w:lvl w:ilvl="8" w:tplc="E63E77DC">
      <w:start w:val="1"/>
      <w:numFmt w:val="bullet"/>
      <w:lvlText w:val=""/>
      <w:lvlJc w:val="left"/>
      <w:pPr>
        <w:ind w:left="6480" w:hanging="360"/>
      </w:pPr>
      <w:rPr>
        <w:rFonts w:ascii="Wingdings" w:hAnsi="Wingdings" w:hint="default"/>
      </w:rPr>
    </w:lvl>
  </w:abstractNum>
  <w:abstractNum w:abstractNumId="25" w15:restartNumberingAfterBreak="0">
    <w:nsid w:val="310C57CF"/>
    <w:multiLevelType w:val="hybridMultilevel"/>
    <w:tmpl w:val="EBE0B688"/>
    <w:lvl w:ilvl="0" w:tplc="DBA8628C">
      <w:start w:val="1"/>
      <w:numFmt w:val="bullet"/>
      <w:lvlText w:val="­"/>
      <w:lvlJc w:val="left"/>
      <w:pPr>
        <w:ind w:left="2844" w:hanging="360"/>
      </w:pPr>
      <w:rPr>
        <w:rFonts w:ascii="Courier New" w:hAnsi="Courier New"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26" w15:restartNumberingAfterBreak="0">
    <w:nsid w:val="313924D4"/>
    <w:multiLevelType w:val="multilevel"/>
    <w:tmpl w:val="1DF2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415407"/>
    <w:multiLevelType w:val="hybridMultilevel"/>
    <w:tmpl w:val="04FC74BC"/>
    <w:lvl w:ilvl="0" w:tplc="CDFCD46E">
      <w:start w:val="1"/>
      <w:numFmt w:val="bullet"/>
      <w:lvlText w:val="·"/>
      <w:lvlJc w:val="left"/>
      <w:pPr>
        <w:ind w:left="720" w:hanging="360"/>
      </w:pPr>
      <w:rPr>
        <w:rFonts w:ascii="Symbol" w:hAnsi="Symbol" w:hint="default"/>
      </w:rPr>
    </w:lvl>
    <w:lvl w:ilvl="1" w:tplc="2F809A04">
      <w:start w:val="1"/>
      <w:numFmt w:val="bullet"/>
      <w:lvlText w:val="o"/>
      <w:lvlJc w:val="left"/>
      <w:pPr>
        <w:ind w:left="1440" w:hanging="360"/>
      </w:pPr>
      <w:rPr>
        <w:rFonts w:ascii="Courier New" w:hAnsi="Courier New" w:hint="default"/>
      </w:rPr>
    </w:lvl>
    <w:lvl w:ilvl="2" w:tplc="1EF4C9B0">
      <w:start w:val="1"/>
      <w:numFmt w:val="bullet"/>
      <w:lvlText w:val=""/>
      <w:lvlJc w:val="left"/>
      <w:pPr>
        <w:ind w:left="2160" w:hanging="360"/>
      </w:pPr>
      <w:rPr>
        <w:rFonts w:ascii="Wingdings" w:hAnsi="Wingdings" w:hint="default"/>
      </w:rPr>
    </w:lvl>
    <w:lvl w:ilvl="3" w:tplc="1C8204AA">
      <w:start w:val="1"/>
      <w:numFmt w:val="bullet"/>
      <w:lvlText w:val=""/>
      <w:lvlJc w:val="left"/>
      <w:pPr>
        <w:ind w:left="2880" w:hanging="360"/>
      </w:pPr>
      <w:rPr>
        <w:rFonts w:ascii="Symbol" w:hAnsi="Symbol" w:hint="default"/>
      </w:rPr>
    </w:lvl>
    <w:lvl w:ilvl="4" w:tplc="399CA116">
      <w:start w:val="1"/>
      <w:numFmt w:val="bullet"/>
      <w:lvlText w:val="o"/>
      <w:lvlJc w:val="left"/>
      <w:pPr>
        <w:ind w:left="3600" w:hanging="360"/>
      </w:pPr>
      <w:rPr>
        <w:rFonts w:ascii="Courier New" w:hAnsi="Courier New" w:hint="default"/>
      </w:rPr>
    </w:lvl>
    <w:lvl w:ilvl="5" w:tplc="4D8C858E">
      <w:start w:val="1"/>
      <w:numFmt w:val="bullet"/>
      <w:lvlText w:val=""/>
      <w:lvlJc w:val="left"/>
      <w:pPr>
        <w:ind w:left="4320" w:hanging="360"/>
      </w:pPr>
      <w:rPr>
        <w:rFonts w:ascii="Wingdings" w:hAnsi="Wingdings" w:hint="default"/>
      </w:rPr>
    </w:lvl>
    <w:lvl w:ilvl="6" w:tplc="1A0EDBE8">
      <w:start w:val="1"/>
      <w:numFmt w:val="bullet"/>
      <w:lvlText w:val=""/>
      <w:lvlJc w:val="left"/>
      <w:pPr>
        <w:ind w:left="5040" w:hanging="360"/>
      </w:pPr>
      <w:rPr>
        <w:rFonts w:ascii="Symbol" w:hAnsi="Symbol" w:hint="default"/>
      </w:rPr>
    </w:lvl>
    <w:lvl w:ilvl="7" w:tplc="D30400D4">
      <w:start w:val="1"/>
      <w:numFmt w:val="bullet"/>
      <w:lvlText w:val="o"/>
      <w:lvlJc w:val="left"/>
      <w:pPr>
        <w:ind w:left="5760" w:hanging="360"/>
      </w:pPr>
      <w:rPr>
        <w:rFonts w:ascii="Courier New" w:hAnsi="Courier New" w:hint="default"/>
      </w:rPr>
    </w:lvl>
    <w:lvl w:ilvl="8" w:tplc="179C44AE">
      <w:start w:val="1"/>
      <w:numFmt w:val="bullet"/>
      <w:lvlText w:val=""/>
      <w:lvlJc w:val="left"/>
      <w:pPr>
        <w:ind w:left="6480" w:hanging="360"/>
      </w:pPr>
      <w:rPr>
        <w:rFonts w:ascii="Wingdings" w:hAnsi="Wingdings" w:hint="default"/>
      </w:rPr>
    </w:lvl>
  </w:abstractNum>
  <w:abstractNum w:abstractNumId="28" w15:restartNumberingAfterBreak="0">
    <w:nsid w:val="361C185A"/>
    <w:multiLevelType w:val="multilevel"/>
    <w:tmpl w:val="C72E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FABD07"/>
    <w:multiLevelType w:val="hybridMultilevel"/>
    <w:tmpl w:val="7210469C"/>
    <w:lvl w:ilvl="0" w:tplc="249268EC">
      <w:start w:val="1"/>
      <w:numFmt w:val="bullet"/>
      <w:lvlText w:val=""/>
      <w:lvlJc w:val="left"/>
      <w:pPr>
        <w:ind w:left="720" w:hanging="360"/>
      </w:pPr>
      <w:rPr>
        <w:rFonts w:ascii="Symbol" w:hAnsi="Symbol" w:hint="default"/>
      </w:rPr>
    </w:lvl>
    <w:lvl w:ilvl="1" w:tplc="7C36C066">
      <w:start w:val="1"/>
      <w:numFmt w:val="bullet"/>
      <w:lvlText w:val="o"/>
      <w:lvlJc w:val="left"/>
      <w:pPr>
        <w:ind w:left="1440" w:hanging="360"/>
      </w:pPr>
      <w:rPr>
        <w:rFonts w:ascii="Courier New" w:hAnsi="Courier New" w:hint="default"/>
      </w:rPr>
    </w:lvl>
    <w:lvl w:ilvl="2" w:tplc="B4665D6E">
      <w:start w:val="1"/>
      <w:numFmt w:val="bullet"/>
      <w:lvlText w:val=""/>
      <w:lvlJc w:val="left"/>
      <w:pPr>
        <w:ind w:left="2160" w:hanging="360"/>
      </w:pPr>
      <w:rPr>
        <w:rFonts w:ascii="Wingdings" w:hAnsi="Wingdings" w:hint="default"/>
      </w:rPr>
    </w:lvl>
    <w:lvl w:ilvl="3" w:tplc="E2A80B6A">
      <w:start w:val="1"/>
      <w:numFmt w:val="bullet"/>
      <w:lvlText w:val=""/>
      <w:lvlJc w:val="left"/>
      <w:pPr>
        <w:ind w:left="2880" w:hanging="360"/>
      </w:pPr>
      <w:rPr>
        <w:rFonts w:ascii="Symbol" w:hAnsi="Symbol" w:hint="default"/>
      </w:rPr>
    </w:lvl>
    <w:lvl w:ilvl="4" w:tplc="6194ED5C">
      <w:start w:val="1"/>
      <w:numFmt w:val="bullet"/>
      <w:lvlText w:val="o"/>
      <w:lvlJc w:val="left"/>
      <w:pPr>
        <w:ind w:left="3600" w:hanging="360"/>
      </w:pPr>
      <w:rPr>
        <w:rFonts w:ascii="Courier New" w:hAnsi="Courier New" w:hint="default"/>
      </w:rPr>
    </w:lvl>
    <w:lvl w:ilvl="5" w:tplc="7228EB72">
      <w:start w:val="1"/>
      <w:numFmt w:val="bullet"/>
      <w:lvlText w:val=""/>
      <w:lvlJc w:val="left"/>
      <w:pPr>
        <w:ind w:left="4320" w:hanging="360"/>
      </w:pPr>
      <w:rPr>
        <w:rFonts w:ascii="Wingdings" w:hAnsi="Wingdings" w:hint="default"/>
      </w:rPr>
    </w:lvl>
    <w:lvl w:ilvl="6" w:tplc="0D8C1BC2">
      <w:start w:val="1"/>
      <w:numFmt w:val="bullet"/>
      <w:lvlText w:val=""/>
      <w:lvlJc w:val="left"/>
      <w:pPr>
        <w:ind w:left="5040" w:hanging="360"/>
      </w:pPr>
      <w:rPr>
        <w:rFonts w:ascii="Symbol" w:hAnsi="Symbol" w:hint="default"/>
      </w:rPr>
    </w:lvl>
    <w:lvl w:ilvl="7" w:tplc="4984CF68">
      <w:start w:val="1"/>
      <w:numFmt w:val="bullet"/>
      <w:lvlText w:val="o"/>
      <w:lvlJc w:val="left"/>
      <w:pPr>
        <w:ind w:left="5760" w:hanging="360"/>
      </w:pPr>
      <w:rPr>
        <w:rFonts w:ascii="Courier New" w:hAnsi="Courier New" w:hint="default"/>
      </w:rPr>
    </w:lvl>
    <w:lvl w:ilvl="8" w:tplc="48648528">
      <w:start w:val="1"/>
      <w:numFmt w:val="bullet"/>
      <w:lvlText w:val=""/>
      <w:lvlJc w:val="left"/>
      <w:pPr>
        <w:ind w:left="6480" w:hanging="360"/>
      </w:pPr>
      <w:rPr>
        <w:rFonts w:ascii="Wingdings" w:hAnsi="Wingdings" w:hint="default"/>
      </w:rPr>
    </w:lvl>
  </w:abstractNum>
  <w:abstractNum w:abstractNumId="30" w15:restartNumberingAfterBreak="0">
    <w:nsid w:val="3BC935E9"/>
    <w:multiLevelType w:val="multilevel"/>
    <w:tmpl w:val="A65802B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D3BD78D"/>
    <w:multiLevelType w:val="hybridMultilevel"/>
    <w:tmpl w:val="B0289D92"/>
    <w:lvl w:ilvl="0" w:tplc="6D363AD8">
      <w:start w:val="1"/>
      <w:numFmt w:val="bullet"/>
      <w:lvlText w:val=""/>
      <w:lvlJc w:val="left"/>
      <w:pPr>
        <w:ind w:left="720" w:hanging="360"/>
      </w:pPr>
      <w:rPr>
        <w:rFonts w:ascii="Symbol" w:hAnsi="Symbol" w:hint="default"/>
      </w:rPr>
    </w:lvl>
    <w:lvl w:ilvl="1" w:tplc="CEF66144">
      <w:start w:val="1"/>
      <w:numFmt w:val="bullet"/>
      <w:lvlText w:val="o"/>
      <w:lvlJc w:val="left"/>
      <w:pPr>
        <w:ind w:left="1440" w:hanging="360"/>
      </w:pPr>
      <w:rPr>
        <w:rFonts w:ascii="Courier New" w:hAnsi="Courier New" w:hint="default"/>
      </w:rPr>
    </w:lvl>
    <w:lvl w:ilvl="2" w:tplc="F236AF88">
      <w:start w:val="1"/>
      <w:numFmt w:val="bullet"/>
      <w:lvlText w:val=""/>
      <w:lvlJc w:val="left"/>
      <w:pPr>
        <w:ind w:left="2160" w:hanging="360"/>
      </w:pPr>
      <w:rPr>
        <w:rFonts w:ascii="Wingdings" w:hAnsi="Wingdings" w:hint="default"/>
      </w:rPr>
    </w:lvl>
    <w:lvl w:ilvl="3" w:tplc="7D4070D4">
      <w:start w:val="1"/>
      <w:numFmt w:val="bullet"/>
      <w:lvlText w:val=""/>
      <w:lvlJc w:val="left"/>
      <w:pPr>
        <w:ind w:left="2880" w:hanging="360"/>
      </w:pPr>
      <w:rPr>
        <w:rFonts w:ascii="Symbol" w:hAnsi="Symbol" w:hint="default"/>
      </w:rPr>
    </w:lvl>
    <w:lvl w:ilvl="4" w:tplc="0D62E7C2">
      <w:start w:val="1"/>
      <w:numFmt w:val="bullet"/>
      <w:lvlText w:val="o"/>
      <w:lvlJc w:val="left"/>
      <w:pPr>
        <w:ind w:left="3600" w:hanging="360"/>
      </w:pPr>
      <w:rPr>
        <w:rFonts w:ascii="Courier New" w:hAnsi="Courier New" w:hint="default"/>
      </w:rPr>
    </w:lvl>
    <w:lvl w:ilvl="5" w:tplc="8BD28B06">
      <w:start w:val="1"/>
      <w:numFmt w:val="bullet"/>
      <w:lvlText w:val=""/>
      <w:lvlJc w:val="left"/>
      <w:pPr>
        <w:ind w:left="4320" w:hanging="360"/>
      </w:pPr>
      <w:rPr>
        <w:rFonts w:ascii="Wingdings" w:hAnsi="Wingdings" w:hint="default"/>
      </w:rPr>
    </w:lvl>
    <w:lvl w:ilvl="6" w:tplc="DF88E908">
      <w:start w:val="1"/>
      <w:numFmt w:val="bullet"/>
      <w:lvlText w:val=""/>
      <w:lvlJc w:val="left"/>
      <w:pPr>
        <w:ind w:left="5040" w:hanging="360"/>
      </w:pPr>
      <w:rPr>
        <w:rFonts w:ascii="Symbol" w:hAnsi="Symbol" w:hint="default"/>
      </w:rPr>
    </w:lvl>
    <w:lvl w:ilvl="7" w:tplc="683EB084">
      <w:start w:val="1"/>
      <w:numFmt w:val="bullet"/>
      <w:lvlText w:val="o"/>
      <w:lvlJc w:val="left"/>
      <w:pPr>
        <w:ind w:left="5760" w:hanging="360"/>
      </w:pPr>
      <w:rPr>
        <w:rFonts w:ascii="Courier New" w:hAnsi="Courier New" w:hint="default"/>
      </w:rPr>
    </w:lvl>
    <w:lvl w:ilvl="8" w:tplc="50426CAA">
      <w:start w:val="1"/>
      <w:numFmt w:val="bullet"/>
      <w:lvlText w:val=""/>
      <w:lvlJc w:val="left"/>
      <w:pPr>
        <w:ind w:left="6480" w:hanging="360"/>
      </w:pPr>
      <w:rPr>
        <w:rFonts w:ascii="Wingdings" w:hAnsi="Wingdings" w:hint="default"/>
      </w:rPr>
    </w:lvl>
  </w:abstractNum>
  <w:abstractNum w:abstractNumId="32" w15:restartNumberingAfterBreak="0">
    <w:nsid w:val="3ECFDA65"/>
    <w:multiLevelType w:val="hybridMultilevel"/>
    <w:tmpl w:val="FFFFFFFF"/>
    <w:lvl w:ilvl="0" w:tplc="563C9AD0">
      <w:start w:val="1"/>
      <w:numFmt w:val="bullet"/>
      <w:lvlText w:val="·"/>
      <w:lvlJc w:val="left"/>
      <w:pPr>
        <w:ind w:left="720" w:hanging="360"/>
      </w:pPr>
      <w:rPr>
        <w:rFonts w:ascii="Symbol" w:hAnsi="Symbol" w:hint="default"/>
      </w:rPr>
    </w:lvl>
    <w:lvl w:ilvl="1" w:tplc="87C04296">
      <w:start w:val="1"/>
      <w:numFmt w:val="bullet"/>
      <w:lvlText w:val="o"/>
      <w:lvlJc w:val="left"/>
      <w:pPr>
        <w:ind w:left="1440" w:hanging="360"/>
      </w:pPr>
      <w:rPr>
        <w:rFonts w:ascii="Courier New" w:hAnsi="Courier New" w:hint="default"/>
      </w:rPr>
    </w:lvl>
    <w:lvl w:ilvl="2" w:tplc="D56A04CC">
      <w:start w:val="1"/>
      <w:numFmt w:val="bullet"/>
      <w:lvlText w:val=""/>
      <w:lvlJc w:val="left"/>
      <w:pPr>
        <w:ind w:left="2160" w:hanging="360"/>
      </w:pPr>
      <w:rPr>
        <w:rFonts w:ascii="Wingdings" w:hAnsi="Wingdings" w:hint="default"/>
      </w:rPr>
    </w:lvl>
    <w:lvl w:ilvl="3" w:tplc="66821BAC">
      <w:start w:val="1"/>
      <w:numFmt w:val="bullet"/>
      <w:lvlText w:val=""/>
      <w:lvlJc w:val="left"/>
      <w:pPr>
        <w:ind w:left="2880" w:hanging="360"/>
      </w:pPr>
      <w:rPr>
        <w:rFonts w:ascii="Symbol" w:hAnsi="Symbol" w:hint="default"/>
      </w:rPr>
    </w:lvl>
    <w:lvl w:ilvl="4" w:tplc="18106E34">
      <w:start w:val="1"/>
      <w:numFmt w:val="bullet"/>
      <w:lvlText w:val="o"/>
      <w:lvlJc w:val="left"/>
      <w:pPr>
        <w:ind w:left="3600" w:hanging="360"/>
      </w:pPr>
      <w:rPr>
        <w:rFonts w:ascii="Courier New" w:hAnsi="Courier New" w:hint="default"/>
      </w:rPr>
    </w:lvl>
    <w:lvl w:ilvl="5" w:tplc="2730E36C">
      <w:start w:val="1"/>
      <w:numFmt w:val="bullet"/>
      <w:lvlText w:val=""/>
      <w:lvlJc w:val="left"/>
      <w:pPr>
        <w:ind w:left="4320" w:hanging="360"/>
      </w:pPr>
      <w:rPr>
        <w:rFonts w:ascii="Wingdings" w:hAnsi="Wingdings" w:hint="default"/>
      </w:rPr>
    </w:lvl>
    <w:lvl w:ilvl="6" w:tplc="3C7A6E86">
      <w:start w:val="1"/>
      <w:numFmt w:val="bullet"/>
      <w:lvlText w:val=""/>
      <w:lvlJc w:val="left"/>
      <w:pPr>
        <w:ind w:left="5040" w:hanging="360"/>
      </w:pPr>
      <w:rPr>
        <w:rFonts w:ascii="Symbol" w:hAnsi="Symbol" w:hint="default"/>
      </w:rPr>
    </w:lvl>
    <w:lvl w:ilvl="7" w:tplc="6D12BE68">
      <w:start w:val="1"/>
      <w:numFmt w:val="bullet"/>
      <w:lvlText w:val="o"/>
      <w:lvlJc w:val="left"/>
      <w:pPr>
        <w:ind w:left="5760" w:hanging="360"/>
      </w:pPr>
      <w:rPr>
        <w:rFonts w:ascii="Courier New" w:hAnsi="Courier New" w:hint="default"/>
      </w:rPr>
    </w:lvl>
    <w:lvl w:ilvl="8" w:tplc="2E34DCEC">
      <w:start w:val="1"/>
      <w:numFmt w:val="bullet"/>
      <w:lvlText w:val=""/>
      <w:lvlJc w:val="left"/>
      <w:pPr>
        <w:ind w:left="6480" w:hanging="360"/>
      </w:pPr>
      <w:rPr>
        <w:rFonts w:ascii="Wingdings" w:hAnsi="Wingdings" w:hint="default"/>
      </w:rPr>
    </w:lvl>
  </w:abstractNum>
  <w:abstractNum w:abstractNumId="33" w15:restartNumberingAfterBreak="0">
    <w:nsid w:val="40C3A415"/>
    <w:multiLevelType w:val="multilevel"/>
    <w:tmpl w:val="B7F0E4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4E5E43C"/>
    <w:multiLevelType w:val="hybridMultilevel"/>
    <w:tmpl w:val="283AB5B4"/>
    <w:lvl w:ilvl="0" w:tplc="32C06608">
      <w:start w:val="1"/>
      <w:numFmt w:val="bullet"/>
      <w:lvlText w:val="·"/>
      <w:lvlJc w:val="left"/>
      <w:pPr>
        <w:ind w:left="720" w:hanging="360"/>
      </w:pPr>
      <w:rPr>
        <w:rFonts w:ascii="Symbol" w:hAnsi="Symbol" w:hint="default"/>
      </w:rPr>
    </w:lvl>
    <w:lvl w:ilvl="1" w:tplc="A72A8A90">
      <w:start w:val="1"/>
      <w:numFmt w:val="bullet"/>
      <w:lvlText w:val="o"/>
      <w:lvlJc w:val="left"/>
      <w:pPr>
        <w:ind w:left="1440" w:hanging="360"/>
      </w:pPr>
      <w:rPr>
        <w:rFonts w:ascii="Courier New" w:hAnsi="Courier New" w:hint="default"/>
      </w:rPr>
    </w:lvl>
    <w:lvl w:ilvl="2" w:tplc="2C5C2B4E">
      <w:start w:val="1"/>
      <w:numFmt w:val="bullet"/>
      <w:lvlText w:val=""/>
      <w:lvlJc w:val="left"/>
      <w:pPr>
        <w:ind w:left="2160" w:hanging="360"/>
      </w:pPr>
      <w:rPr>
        <w:rFonts w:ascii="Wingdings" w:hAnsi="Wingdings" w:hint="default"/>
      </w:rPr>
    </w:lvl>
    <w:lvl w:ilvl="3" w:tplc="A3741BFA">
      <w:start w:val="1"/>
      <w:numFmt w:val="bullet"/>
      <w:lvlText w:val=""/>
      <w:lvlJc w:val="left"/>
      <w:pPr>
        <w:ind w:left="2880" w:hanging="360"/>
      </w:pPr>
      <w:rPr>
        <w:rFonts w:ascii="Symbol" w:hAnsi="Symbol" w:hint="default"/>
      </w:rPr>
    </w:lvl>
    <w:lvl w:ilvl="4" w:tplc="A15499CE">
      <w:start w:val="1"/>
      <w:numFmt w:val="bullet"/>
      <w:lvlText w:val="o"/>
      <w:lvlJc w:val="left"/>
      <w:pPr>
        <w:ind w:left="3600" w:hanging="360"/>
      </w:pPr>
      <w:rPr>
        <w:rFonts w:ascii="Courier New" w:hAnsi="Courier New" w:hint="default"/>
      </w:rPr>
    </w:lvl>
    <w:lvl w:ilvl="5" w:tplc="12EAEEAC">
      <w:start w:val="1"/>
      <w:numFmt w:val="bullet"/>
      <w:lvlText w:val=""/>
      <w:lvlJc w:val="left"/>
      <w:pPr>
        <w:ind w:left="4320" w:hanging="360"/>
      </w:pPr>
      <w:rPr>
        <w:rFonts w:ascii="Wingdings" w:hAnsi="Wingdings" w:hint="default"/>
      </w:rPr>
    </w:lvl>
    <w:lvl w:ilvl="6" w:tplc="C8CA70C2">
      <w:start w:val="1"/>
      <w:numFmt w:val="bullet"/>
      <w:lvlText w:val=""/>
      <w:lvlJc w:val="left"/>
      <w:pPr>
        <w:ind w:left="5040" w:hanging="360"/>
      </w:pPr>
      <w:rPr>
        <w:rFonts w:ascii="Symbol" w:hAnsi="Symbol" w:hint="default"/>
      </w:rPr>
    </w:lvl>
    <w:lvl w:ilvl="7" w:tplc="61820F86">
      <w:start w:val="1"/>
      <w:numFmt w:val="bullet"/>
      <w:lvlText w:val="o"/>
      <w:lvlJc w:val="left"/>
      <w:pPr>
        <w:ind w:left="5760" w:hanging="360"/>
      </w:pPr>
      <w:rPr>
        <w:rFonts w:ascii="Courier New" w:hAnsi="Courier New" w:hint="default"/>
      </w:rPr>
    </w:lvl>
    <w:lvl w:ilvl="8" w:tplc="EF7C1080">
      <w:start w:val="1"/>
      <w:numFmt w:val="bullet"/>
      <w:lvlText w:val=""/>
      <w:lvlJc w:val="left"/>
      <w:pPr>
        <w:ind w:left="6480" w:hanging="360"/>
      </w:pPr>
      <w:rPr>
        <w:rFonts w:ascii="Wingdings" w:hAnsi="Wingdings" w:hint="default"/>
      </w:rPr>
    </w:lvl>
  </w:abstractNum>
  <w:abstractNum w:abstractNumId="35" w15:restartNumberingAfterBreak="0">
    <w:nsid w:val="4E5CA884"/>
    <w:multiLevelType w:val="hybridMultilevel"/>
    <w:tmpl w:val="0E8C536A"/>
    <w:lvl w:ilvl="0" w:tplc="5CFEF2D4">
      <w:start w:val="1"/>
      <w:numFmt w:val="bullet"/>
      <w:lvlText w:val="·"/>
      <w:lvlJc w:val="left"/>
      <w:pPr>
        <w:ind w:left="720" w:hanging="360"/>
      </w:pPr>
      <w:rPr>
        <w:rFonts w:ascii="Symbol" w:hAnsi="Symbol" w:hint="default"/>
      </w:rPr>
    </w:lvl>
    <w:lvl w:ilvl="1" w:tplc="7A4AD270">
      <w:start w:val="1"/>
      <w:numFmt w:val="bullet"/>
      <w:lvlText w:val="o"/>
      <w:lvlJc w:val="left"/>
      <w:pPr>
        <w:ind w:left="1440" w:hanging="360"/>
      </w:pPr>
      <w:rPr>
        <w:rFonts w:ascii="Courier New" w:hAnsi="Courier New" w:hint="default"/>
      </w:rPr>
    </w:lvl>
    <w:lvl w:ilvl="2" w:tplc="AC98E982">
      <w:start w:val="1"/>
      <w:numFmt w:val="bullet"/>
      <w:lvlText w:val=""/>
      <w:lvlJc w:val="left"/>
      <w:pPr>
        <w:ind w:left="2160" w:hanging="360"/>
      </w:pPr>
      <w:rPr>
        <w:rFonts w:ascii="Wingdings" w:hAnsi="Wingdings" w:hint="default"/>
      </w:rPr>
    </w:lvl>
    <w:lvl w:ilvl="3" w:tplc="D2E67F44">
      <w:start w:val="1"/>
      <w:numFmt w:val="bullet"/>
      <w:lvlText w:val=""/>
      <w:lvlJc w:val="left"/>
      <w:pPr>
        <w:ind w:left="2880" w:hanging="360"/>
      </w:pPr>
      <w:rPr>
        <w:rFonts w:ascii="Symbol" w:hAnsi="Symbol" w:hint="default"/>
      </w:rPr>
    </w:lvl>
    <w:lvl w:ilvl="4" w:tplc="F86A942C">
      <w:start w:val="1"/>
      <w:numFmt w:val="bullet"/>
      <w:lvlText w:val="o"/>
      <w:lvlJc w:val="left"/>
      <w:pPr>
        <w:ind w:left="3600" w:hanging="360"/>
      </w:pPr>
      <w:rPr>
        <w:rFonts w:ascii="Courier New" w:hAnsi="Courier New" w:hint="default"/>
      </w:rPr>
    </w:lvl>
    <w:lvl w:ilvl="5" w:tplc="FA22B524">
      <w:start w:val="1"/>
      <w:numFmt w:val="bullet"/>
      <w:lvlText w:val=""/>
      <w:lvlJc w:val="left"/>
      <w:pPr>
        <w:ind w:left="4320" w:hanging="360"/>
      </w:pPr>
      <w:rPr>
        <w:rFonts w:ascii="Wingdings" w:hAnsi="Wingdings" w:hint="default"/>
      </w:rPr>
    </w:lvl>
    <w:lvl w:ilvl="6" w:tplc="92D45AB2">
      <w:start w:val="1"/>
      <w:numFmt w:val="bullet"/>
      <w:lvlText w:val=""/>
      <w:lvlJc w:val="left"/>
      <w:pPr>
        <w:ind w:left="5040" w:hanging="360"/>
      </w:pPr>
      <w:rPr>
        <w:rFonts w:ascii="Symbol" w:hAnsi="Symbol" w:hint="default"/>
      </w:rPr>
    </w:lvl>
    <w:lvl w:ilvl="7" w:tplc="FC5CF372">
      <w:start w:val="1"/>
      <w:numFmt w:val="bullet"/>
      <w:lvlText w:val="o"/>
      <w:lvlJc w:val="left"/>
      <w:pPr>
        <w:ind w:left="5760" w:hanging="360"/>
      </w:pPr>
      <w:rPr>
        <w:rFonts w:ascii="Courier New" w:hAnsi="Courier New" w:hint="default"/>
      </w:rPr>
    </w:lvl>
    <w:lvl w:ilvl="8" w:tplc="F8520B94">
      <w:start w:val="1"/>
      <w:numFmt w:val="bullet"/>
      <w:lvlText w:val=""/>
      <w:lvlJc w:val="left"/>
      <w:pPr>
        <w:ind w:left="6480" w:hanging="360"/>
      </w:pPr>
      <w:rPr>
        <w:rFonts w:ascii="Wingdings" w:hAnsi="Wingdings" w:hint="default"/>
      </w:rPr>
    </w:lvl>
  </w:abstractNum>
  <w:abstractNum w:abstractNumId="36" w15:restartNumberingAfterBreak="0">
    <w:nsid w:val="55E96315"/>
    <w:multiLevelType w:val="hybridMultilevel"/>
    <w:tmpl w:val="C5A841CA"/>
    <w:lvl w:ilvl="0" w:tplc="5F56CC54">
      <w:start w:val="1"/>
      <w:numFmt w:val="bullet"/>
      <w:lvlText w:val=""/>
      <w:lvlJc w:val="left"/>
      <w:pPr>
        <w:ind w:left="720" w:hanging="360"/>
      </w:pPr>
      <w:rPr>
        <w:rFonts w:ascii="Symbol" w:hAnsi="Symbol" w:hint="default"/>
      </w:rPr>
    </w:lvl>
    <w:lvl w:ilvl="1" w:tplc="3D88DE60">
      <w:start w:val="1"/>
      <w:numFmt w:val="bullet"/>
      <w:lvlText w:val="o"/>
      <w:lvlJc w:val="left"/>
      <w:pPr>
        <w:ind w:left="1440" w:hanging="360"/>
      </w:pPr>
      <w:rPr>
        <w:rFonts w:ascii="Courier New" w:hAnsi="Courier New" w:hint="default"/>
      </w:rPr>
    </w:lvl>
    <w:lvl w:ilvl="2" w:tplc="AFF6FA2A">
      <w:start w:val="1"/>
      <w:numFmt w:val="bullet"/>
      <w:lvlText w:val=""/>
      <w:lvlJc w:val="left"/>
      <w:pPr>
        <w:ind w:left="2160" w:hanging="360"/>
      </w:pPr>
      <w:rPr>
        <w:rFonts w:ascii="Wingdings" w:hAnsi="Wingdings" w:hint="default"/>
      </w:rPr>
    </w:lvl>
    <w:lvl w:ilvl="3" w:tplc="C74C5168">
      <w:start w:val="1"/>
      <w:numFmt w:val="bullet"/>
      <w:lvlText w:val=""/>
      <w:lvlJc w:val="left"/>
      <w:pPr>
        <w:ind w:left="2880" w:hanging="360"/>
      </w:pPr>
      <w:rPr>
        <w:rFonts w:ascii="Symbol" w:hAnsi="Symbol" w:hint="default"/>
      </w:rPr>
    </w:lvl>
    <w:lvl w:ilvl="4" w:tplc="87589D2C">
      <w:start w:val="1"/>
      <w:numFmt w:val="bullet"/>
      <w:lvlText w:val="o"/>
      <w:lvlJc w:val="left"/>
      <w:pPr>
        <w:ind w:left="3600" w:hanging="360"/>
      </w:pPr>
      <w:rPr>
        <w:rFonts w:ascii="Courier New" w:hAnsi="Courier New" w:hint="default"/>
      </w:rPr>
    </w:lvl>
    <w:lvl w:ilvl="5" w:tplc="4FE4591A">
      <w:start w:val="1"/>
      <w:numFmt w:val="bullet"/>
      <w:lvlText w:val=""/>
      <w:lvlJc w:val="left"/>
      <w:pPr>
        <w:ind w:left="4320" w:hanging="360"/>
      </w:pPr>
      <w:rPr>
        <w:rFonts w:ascii="Wingdings" w:hAnsi="Wingdings" w:hint="default"/>
      </w:rPr>
    </w:lvl>
    <w:lvl w:ilvl="6" w:tplc="B2FE4906">
      <w:start w:val="1"/>
      <w:numFmt w:val="bullet"/>
      <w:lvlText w:val=""/>
      <w:lvlJc w:val="left"/>
      <w:pPr>
        <w:ind w:left="5040" w:hanging="360"/>
      </w:pPr>
      <w:rPr>
        <w:rFonts w:ascii="Symbol" w:hAnsi="Symbol" w:hint="default"/>
      </w:rPr>
    </w:lvl>
    <w:lvl w:ilvl="7" w:tplc="D368DBB2">
      <w:start w:val="1"/>
      <w:numFmt w:val="bullet"/>
      <w:lvlText w:val="o"/>
      <w:lvlJc w:val="left"/>
      <w:pPr>
        <w:ind w:left="5760" w:hanging="360"/>
      </w:pPr>
      <w:rPr>
        <w:rFonts w:ascii="Courier New" w:hAnsi="Courier New" w:hint="default"/>
      </w:rPr>
    </w:lvl>
    <w:lvl w:ilvl="8" w:tplc="EFE24CAA">
      <w:start w:val="1"/>
      <w:numFmt w:val="bullet"/>
      <w:lvlText w:val=""/>
      <w:lvlJc w:val="left"/>
      <w:pPr>
        <w:ind w:left="6480" w:hanging="360"/>
      </w:pPr>
      <w:rPr>
        <w:rFonts w:ascii="Wingdings" w:hAnsi="Wingdings" w:hint="default"/>
      </w:rPr>
    </w:lvl>
  </w:abstractNum>
  <w:abstractNum w:abstractNumId="37" w15:restartNumberingAfterBreak="0">
    <w:nsid w:val="5614050A"/>
    <w:multiLevelType w:val="hybridMultilevel"/>
    <w:tmpl w:val="E3C47900"/>
    <w:lvl w:ilvl="0" w:tplc="04150001">
      <w:start w:val="1"/>
      <w:numFmt w:val="bullet"/>
      <w:lvlText w:val=""/>
      <w:lvlJc w:val="left"/>
      <w:pPr>
        <w:ind w:left="720" w:hanging="360"/>
      </w:pPr>
      <w:rPr>
        <w:rFonts w:ascii="Symbol" w:hAnsi="Symbol" w:hint="default"/>
      </w:rPr>
    </w:lvl>
    <w:lvl w:ilvl="1" w:tplc="7CB4888E">
      <w:start w:val="1"/>
      <w:numFmt w:val="bullet"/>
      <w:lvlText w:val="o"/>
      <w:lvlJc w:val="left"/>
      <w:pPr>
        <w:ind w:left="1440" w:hanging="360"/>
      </w:pPr>
      <w:rPr>
        <w:rFonts w:ascii="Courier New" w:hAnsi="Courier New" w:cs="Courier New" w:hint="default"/>
        <w:sz w:val="22"/>
        <w:szCs w:val="22"/>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7C8092F"/>
    <w:multiLevelType w:val="hybridMultilevel"/>
    <w:tmpl w:val="2376ED46"/>
    <w:lvl w:ilvl="0" w:tplc="4072C0FC">
      <w:start w:val="1"/>
      <w:numFmt w:val="bullet"/>
      <w:lvlText w:val="·"/>
      <w:lvlJc w:val="left"/>
      <w:pPr>
        <w:ind w:left="720" w:hanging="360"/>
      </w:pPr>
      <w:rPr>
        <w:rFonts w:ascii="Symbol" w:hAnsi="Symbol" w:hint="default"/>
      </w:rPr>
    </w:lvl>
    <w:lvl w:ilvl="1" w:tplc="0B90076A">
      <w:start w:val="1"/>
      <w:numFmt w:val="bullet"/>
      <w:lvlText w:val="o"/>
      <w:lvlJc w:val="left"/>
      <w:pPr>
        <w:ind w:left="1440" w:hanging="360"/>
      </w:pPr>
      <w:rPr>
        <w:rFonts w:ascii="Symbol" w:hAnsi="Symbol" w:hint="default"/>
      </w:rPr>
    </w:lvl>
    <w:lvl w:ilvl="2" w:tplc="CC6E5026">
      <w:start w:val="1"/>
      <w:numFmt w:val="bullet"/>
      <w:lvlText w:val=""/>
      <w:lvlJc w:val="left"/>
      <w:pPr>
        <w:ind w:left="2160" w:hanging="360"/>
      </w:pPr>
      <w:rPr>
        <w:rFonts w:ascii="Wingdings" w:hAnsi="Wingdings" w:hint="default"/>
      </w:rPr>
    </w:lvl>
    <w:lvl w:ilvl="3" w:tplc="1D301512">
      <w:start w:val="1"/>
      <w:numFmt w:val="bullet"/>
      <w:lvlText w:val=""/>
      <w:lvlJc w:val="left"/>
      <w:pPr>
        <w:ind w:left="2880" w:hanging="360"/>
      </w:pPr>
      <w:rPr>
        <w:rFonts w:ascii="Symbol" w:hAnsi="Symbol" w:hint="default"/>
      </w:rPr>
    </w:lvl>
    <w:lvl w:ilvl="4" w:tplc="9A3C97DA">
      <w:start w:val="1"/>
      <w:numFmt w:val="bullet"/>
      <w:lvlText w:val="o"/>
      <w:lvlJc w:val="left"/>
      <w:pPr>
        <w:ind w:left="3600" w:hanging="360"/>
      </w:pPr>
      <w:rPr>
        <w:rFonts w:ascii="Courier New" w:hAnsi="Courier New" w:hint="default"/>
      </w:rPr>
    </w:lvl>
    <w:lvl w:ilvl="5" w:tplc="EEF27E60">
      <w:start w:val="1"/>
      <w:numFmt w:val="bullet"/>
      <w:lvlText w:val=""/>
      <w:lvlJc w:val="left"/>
      <w:pPr>
        <w:ind w:left="4320" w:hanging="360"/>
      </w:pPr>
      <w:rPr>
        <w:rFonts w:ascii="Wingdings" w:hAnsi="Wingdings" w:hint="default"/>
      </w:rPr>
    </w:lvl>
    <w:lvl w:ilvl="6" w:tplc="B7CA4564">
      <w:start w:val="1"/>
      <w:numFmt w:val="bullet"/>
      <w:lvlText w:val=""/>
      <w:lvlJc w:val="left"/>
      <w:pPr>
        <w:ind w:left="5040" w:hanging="360"/>
      </w:pPr>
      <w:rPr>
        <w:rFonts w:ascii="Symbol" w:hAnsi="Symbol" w:hint="default"/>
      </w:rPr>
    </w:lvl>
    <w:lvl w:ilvl="7" w:tplc="7AE42134">
      <w:start w:val="1"/>
      <w:numFmt w:val="bullet"/>
      <w:lvlText w:val="o"/>
      <w:lvlJc w:val="left"/>
      <w:pPr>
        <w:ind w:left="5760" w:hanging="360"/>
      </w:pPr>
      <w:rPr>
        <w:rFonts w:ascii="Courier New" w:hAnsi="Courier New" w:hint="default"/>
      </w:rPr>
    </w:lvl>
    <w:lvl w:ilvl="8" w:tplc="4DE24806">
      <w:start w:val="1"/>
      <w:numFmt w:val="bullet"/>
      <w:lvlText w:val=""/>
      <w:lvlJc w:val="left"/>
      <w:pPr>
        <w:ind w:left="6480" w:hanging="360"/>
      </w:pPr>
      <w:rPr>
        <w:rFonts w:ascii="Wingdings" w:hAnsi="Wingdings" w:hint="default"/>
      </w:rPr>
    </w:lvl>
  </w:abstractNum>
  <w:abstractNum w:abstractNumId="39" w15:restartNumberingAfterBreak="0">
    <w:nsid w:val="59CC37FB"/>
    <w:multiLevelType w:val="hybridMultilevel"/>
    <w:tmpl w:val="7CAA2D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BD561A"/>
    <w:multiLevelType w:val="multilevel"/>
    <w:tmpl w:val="3FCA85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7A862CF"/>
    <w:multiLevelType w:val="hybridMultilevel"/>
    <w:tmpl w:val="EA008F1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0198FDB"/>
    <w:multiLevelType w:val="hybridMultilevel"/>
    <w:tmpl w:val="0A3AB834"/>
    <w:lvl w:ilvl="0" w:tplc="2CAC446C">
      <w:start w:val="1"/>
      <w:numFmt w:val="bullet"/>
      <w:lvlText w:val="·"/>
      <w:lvlJc w:val="left"/>
      <w:pPr>
        <w:ind w:left="720" w:hanging="360"/>
      </w:pPr>
      <w:rPr>
        <w:rFonts w:ascii="Symbol" w:hAnsi="Symbol" w:hint="default"/>
      </w:rPr>
    </w:lvl>
    <w:lvl w:ilvl="1" w:tplc="71401F4A">
      <w:start w:val="1"/>
      <w:numFmt w:val="bullet"/>
      <w:lvlText w:val="o"/>
      <w:lvlJc w:val="left"/>
      <w:pPr>
        <w:ind w:left="1440" w:hanging="360"/>
      </w:pPr>
      <w:rPr>
        <w:rFonts w:ascii="Courier New" w:hAnsi="Courier New" w:hint="default"/>
      </w:rPr>
    </w:lvl>
    <w:lvl w:ilvl="2" w:tplc="BB125AE4">
      <w:start w:val="1"/>
      <w:numFmt w:val="bullet"/>
      <w:lvlText w:val=""/>
      <w:lvlJc w:val="left"/>
      <w:pPr>
        <w:ind w:left="2160" w:hanging="360"/>
      </w:pPr>
      <w:rPr>
        <w:rFonts w:ascii="Wingdings" w:hAnsi="Wingdings" w:hint="default"/>
      </w:rPr>
    </w:lvl>
    <w:lvl w:ilvl="3" w:tplc="466ABEDC">
      <w:start w:val="1"/>
      <w:numFmt w:val="bullet"/>
      <w:lvlText w:val=""/>
      <w:lvlJc w:val="left"/>
      <w:pPr>
        <w:ind w:left="2880" w:hanging="360"/>
      </w:pPr>
      <w:rPr>
        <w:rFonts w:ascii="Symbol" w:hAnsi="Symbol" w:hint="default"/>
      </w:rPr>
    </w:lvl>
    <w:lvl w:ilvl="4" w:tplc="B39E503E">
      <w:start w:val="1"/>
      <w:numFmt w:val="bullet"/>
      <w:lvlText w:val="o"/>
      <w:lvlJc w:val="left"/>
      <w:pPr>
        <w:ind w:left="3600" w:hanging="360"/>
      </w:pPr>
      <w:rPr>
        <w:rFonts w:ascii="Courier New" w:hAnsi="Courier New" w:hint="default"/>
      </w:rPr>
    </w:lvl>
    <w:lvl w:ilvl="5" w:tplc="C9AA105C">
      <w:start w:val="1"/>
      <w:numFmt w:val="bullet"/>
      <w:lvlText w:val=""/>
      <w:lvlJc w:val="left"/>
      <w:pPr>
        <w:ind w:left="4320" w:hanging="360"/>
      </w:pPr>
      <w:rPr>
        <w:rFonts w:ascii="Wingdings" w:hAnsi="Wingdings" w:hint="default"/>
      </w:rPr>
    </w:lvl>
    <w:lvl w:ilvl="6" w:tplc="DDEA1124">
      <w:start w:val="1"/>
      <w:numFmt w:val="bullet"/>
      <w:lvlText w:val=""/>
      <w:lvlJc w:val="left"/>
      <w:pPr>
        <w:ind w:left="5040" w:hanging="360"/>
      </w:pPr>
      <w:rPr>
        <w:rFonts w:ascii="Symbol" w:hAnsi="Symbol" w:hint="default"/>
      </w:rPr>
    </w:lvl>
    <w:lvl w:ilvl="7" w:tplc="DF5446D0">
      <w:start w:val="1"/>
      <w:numFmt w:val="bullet"/>
      <w:lvlText w:val="o"/>
      <w:lvlJc w:val="left"/>
      <w:pPr>
        <w:ind w:left="5760" w:hanging="360"/>
      </w:pPr>
      <w:rPr>
        <w:rFonts w:ascii="Courier New" w:hAnsi="Courier New" w:hint="default"/>
      </w:rPr>
    </w:lvl>
    <w:lvl w:ilvl="8" w:tplc="E73CA120">
      <w:start w:val="1"/>
      <w:numFmt w:val="bullet"/>
      <w:lvlText w:val=""/>
      <w:lvlJc w:val="left"/>
      <w:pPr>
        <w:ind w:left="6480" w:hanging="360"/>
      </w:pPr>
      <w:rPr>
        <w:rFonts w:ascii="Wingdings" w:hAnsi="Wingdings" w:hint="default"/>
      </w:rPr>
    </w:lvl>
  </w:abstractNum>
  <w:abstractNum w:abstractNumId="43" w15:restartNumberingAfterBreak="0">
    <w:nsid w:val="78FE04D9"/>
    <w:multiLevelType w:val="hybridMultilevel"/>
    <w:tmpl w:val="5B8EAB40"/>
    <w:lvl w:ilvl="0" w:tplc="2FD087F6">
      <w:start w:val="1"/>
      <w:numFmt w:val="bullet"/>
      <w:lvlText w:val="·"/>
      <w:lvlJc w:val="left"/>
      <w:pPr>
        <w:ind w:left="720" w:hanging="360"/>
      </w:pPr>
      <w:rPr>
        <w:rFonts w:ascii="Symbol" w:hAnsi="Symbol" w:hint="default"/>
      </w:rPr>
    </w:lvl>
    <w:lvl w:ilvl="1" w:tplc="71A4FF98">
      <w:start w:val="1"/>
      <w:numFmt w:val="bullet"/>
      <w:lvlText w:val="o"/>
      <w:lvlJc w:val="left"/>
      <w:pPr>
        <w:ind w:left="1440" w:hanging="360"/>
      </w:pPr>
      <w:rPr>
        <w:rFonts w:ascii="Courier New" w:hAnsi="Courier New" w:hint="default"/>
      </w:rPr>
    </w:lvl>
    <w:lvl w:ilvl="2" w:tplc="09848C9E">
      <w:start w:val="1"/>
      <w:numFmt w:val="bullet"/>
      <w:lvlText w:val=""/>
      <w:lvlJc w:val="left"/>
      <w:pPr>
        <w:ind w:left="2160" w:hanging="360"/>
      </w:pPr>
      <w:rPr>
        <w:rFonts w:ascii="Wingdings" w:hAnsi="Wingdings" w:hint="default"/>
      </w:rPr>
    </w:lvl>
    <w:lvl w:ilvl="3" w:tplc="FD543BDE">
      <w:start w:val="1"/>
      <w:numFmt w:val="bullet"/>
      <w:lvlText w:val=""/>
      <w:lvlJc w:val="left"/>
      <w:pPr>
        <w:ind w:left="2880" w:hanging="360"/>
      </w:pPr>
      <w:rPr>
        <w:rFonts w:ascii="Symbol" w:hAnsi="Symbol" w:hint="default"/>
      </w:rPr>
    </w:lvl>
    <w:lvl w:ilvl="4" w:tplc="451C90A0">
      <w:start w:val="1"/>
      <w:numFmt w:val="bullet"/>
      <w:lvlText w:val="o"/>
      <w:lvlJc w:val="left"/>
      <w:pPr>
        <w:ind w:left="3600" w:hanging="360"/>
      </w:pPr>
      <w:rPr>
        <w:rFonts w:ascii="Courier New" w:hAnsi="Courier New" w:hint="default"/>
      </w:rPr>
    </w:lvl>
    <w:lvl w:ilvl="5" w:tplc="D0A4B41C">
      <w:start w:val="1"/>
      <w:numFmt w:val="bullet"/>
      <w:lvlText w:val=""/>
      <w:lvlJc w:val="left"/>
      <w:pPr>
        <w:ind w:left="4320" w:hanging="360"/>
      </w:pPr>
      <w:rPr>
        <w:rFonts w:ascii="Wingdings" w:hAnsi="Wingdings" w:hint="default"/>
      </w:rPr>
    </w:lvl>
    <w:lvl w:ilvl="6" w:tplc="385803F4">
      <w:start w:val="1"/>
      <w:numFmt w:val="bullet"/>
      <w:lvlText w:val=""/>
      <w:lvlJc w:val="left"/>
      <w:pPr>
        <w:ind w:left="5040" w:hanging="360"/>
      </w:pPr>
      <w:rPr>
        <w:rFonts w:ascii="Symbol" w:hAnsi="Symbol" w:hint="default"/>
      </w:rPr>
    </w:lvl>
    <w:lvl w:ilvl="7" w:tplc="0B96D074">
      <w:start w:val="1"/>
      <w:numFmt w:val="bullet"/>
      <w:lvlText w:val="o"/>
      <w:lvlJc w:val="left"/>
      <w:pPr>
        <w:ind w:left="5760" w:hanging="360"/>
      </w:pPr>
      <w:rPr>
        <w:rFonts w:ascii="Courier New" w:hAnsi="Courier New" w:hint="default"/>
      </w:rPr>
    </w:lvl>
    <w:lvl w:ilvl="8" w:tplc="AD32CAAC">
      <w:start w:val="1"/>
      <w:numFmt w:val="bullet"/>
      <w:lvlText w:val=""/>
      <w:lvlJc w:val="left"/>
      <w:pPr>
        <w:ind w:left="6480" w:hanging="360"/>
      </w:pPr>
      <w:rPr>
        <w:rFonts w:ascii="Wingdings" w:hAnsi="Wingdings" w:hint="default"/>
      </w:rPr>
    </w:lvl>
  </w:abstractNum>
  <w:abstractNum w:abstractNumId="44" w15:restartNumberingAfterBreak="0">
    <w:nsid w:val="7CBB5D3D"/>
    <w:multiLevelType w:val="hybridMultilevel"/>
    <w:tmpl w:val="581CAF50"/>
    <w:lvl w:ilvl="0" w:tplc="04150001">
      <w:start w:val="1"/>
      <w:numFmt w:val="bullet"/>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45" w15:restartNumberingAfterBreak="0">
    <w:nsid w:val="7DD0DF3C"/>
    <w:multiLevelType w:val="multilevel"/>
    <w:tmpl w:val="82986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B35982"/>
    <w:multiLevelType w:val="hybridMultilevel"/>
    <w:tmpl w:val="45486EA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15:restartNumberingAfterBreak="0">
    <w:nsid w:val="7FD3B0CA"/>
    <w:multiLevelType w:val="hybridMultilevel"/>
    <w:tmpl w:val="FC920016"/>
    <w:lvl w:ilvl="0" w:tplc="8AE6091A">
      <w:start w:val="1"/>
      <w:numFmt w:val="bullet"/>
      <w:lvlText w:val="·"/>
      <w:lvlJc w:val="left"/>
      <w:pPr>
        <w:ind w:left="720" w:hanging="360"/>
      </w:pPr>
      <w:rPr>
        <w:rFonts w:ascii="Symbol" w:hAnsi="Symbol" w:hint="default"/>
      </w:rPr>
    </w:lvl>
    <w:lvl w:ilvl="1" w:tplc="6A0CC46C">
      <w:start w:val="1"/>
      <w:numFmt w:val="bullet"/>
      <w:lvlText w:val="o"/>
      <w:lvlJc w:val="left"/>
      <w:pPr>
        <w:ind w:left="1440" w:hanging="360"/>
      </w:pPr>
      <w:rPr>
        <w:rFonts w:ascii="Courier New" w:hAnsi="Courier New" w:hint="default"/>
      </w:rPr>
    </w:lvl>
    <w:lvl w:ilvl="2" w:tplc="01F43014">
      <w:start w:val="1"/>
      <w:numFmt w:val="bullet"/>
      <w:lvlText w:val=""/>
      <w:lvlJc w:val="left"/>
      <w:pPr>
        <w:ind w:left="2160" w:hanging="360"/>
      </w:pPr>
      <w:rPr>
        <w:rFonts w:ascii="Wingdings" w:hAnsi="Wingdings" w:hint="default"/>
      </w:rPr>
    </w:lvl>
    <w:lvl w:ilvl="3" w:tplc="BB007DAC">
      <w:start w:val="1"/>
      <w:numFmt w:val="bullet"/>
      <w:lvlText w:val=""/>
      <w:lvlJc w:val="left"/>
      <w:pPr>
        <w:ind w:left="2880" w:hanging="360"/>
      </w:pPr>
      <w:rPr>
        <w:rFonts w:ascii="Symbol" w:hAnsi="Symbol" w:hint="default"/>
      </w:rPr>
    </w:lvl>
    <w:lvl w:ilvl="4" w:tplc="A96C108E">
      <w:start w:val="1"/>
      <w:numFmt w:val="bullet"/>
      <w:lvlText w:val="o"/>
      <w:lvlJc w:val="left"/>
      <w:pPr>
        <w:ind w:left="3600" w:hanging="360"/>
      </w:pPr>
      <w:rPr>
        <w:rFonts w:ascii="Courier New" w:hAnsi="Courier New" w:hint="default"/>
      </w:rPr>
    </w:lvl>
    <w:lvl w:ilvl="5" w:tplc="54A843F8">
      <w:start w:val="1"/>
      <w:numFmt w:val="bullet"/>
      <w:lvlText w:val=""/>
      <w:lvlJc w:val="left"/>
      <w:pPr>
        <w:ind w:left="4320" w:hanging="360"/>
      </w:pPr>
      <w:rPr>
        <w:rFonts w:ascii="Wingdings" w:hAnsi="Wingdings" w:hint="default"/>
      </w:rPr>
    </w:lvl>
    <w:lvl w:ilvl="6" w:tplc="E2463846">
      <w:start w:val="1"/>
      <w:numFmt w:val="bullet"/>
      <w:lvlText w:val=""/>
      <w:lvlJc w:val="left"/>
      <w:pPr>
        <w:ind w:left="5040" w:hanging="360"/>
      </w:pPr>
      <w:rPr>
        <w:rFonts w:ascii="Symbol" w:hAnsi="Symbol" w:hint="default"/>
      </w:rPr>
    </w:lvl>
    <w:lvl w:ilvl="7" w:tplc="2DEE8B48">
      <w:start w:val="1"/>
      <w:numFmt w:val="bullet"/>
      <w:lvlText w:val="o"/>
      <w:lvlJc w:val="left"/>
      <w:pPr>
        <w:ind w:left="5760" w:hanging="360"/>
      </w:pPr>
      <w:rPr>
        <w:rFonts w:ascii="Courier New" w:hAnsi="Courier New" w:hint="default"/>
      </w:rPr>
    </w:lvl>
    <w:lvl w:ilvl="8" w:tplc="DCA07A50">
      <w:start w:val="1"/>
      <w:numFmt w:val="bullet"/>
      <w:lvlText w:val=""/>
      <w:lvlJc w:val="left"/>
      <w:pPr>
        <w:ind w:left="6480" w:hanging="360"/>
      </w:pPr>
      <w:rPr>
        <w:rFonts w:ascii="Wingdings" w:hAnsi="Wingdings" w:hint="default"/>
      </w:rPr>
    </w:lvl>
  </w:abstractNum>
  <w:num w:numId="1" w16cid:durableId="1485512512">
    <w:abstractNumId w:val="1"/>
  </w:num>
  <w:num w:numId="2" w16cid:durableId="1724599701">
    <w:abstractNumId w:val="13"/>
  </w:num>
  <w:num w:numId="3" w16cid:durableId="1386221680">
    <w:abstractNumId w:val="37"/>
  </w:num>
  <w:num w:numId="4" w16cid:durableId="513304159">
    <w:abstractNumId w:val="4"/>
  </w:num>
  <w:num w:numId="5" w16cid:durableId="1065449256">
    <w:abstractNumId w:val="46"/>
  </w:num>
  <w:num w:numId="6" w16cid:durableId="1395545586">
    <w:abstractNumId w:val="39"/>
  </w:num>
  <w:num w:numId="7" w16cid:durableId="452405760">
    <w:abstractNumId w:val="0"/>
  </w:num>
  <w:num w:numId="8" w16cid:durableId="1346706276">
    <w:abstractNumId w:val="17"/>
  </w:num>
  <w:num w:numId="9" w16cid:durableId="938369539">
    <w:abstractNumId w:val="41"/>
  </w:num>
  <w:num w:numId="10" w16cid:durableId="1082751317">
    <w:abstractNumId w:val="6"/>
  </w:num>
  <w:num w:numId="11" w16cid:durableId="1472094508">
    <w:abstractNumId w:val="25"/>
  </w:num>
  <w:num w:numId="12" w16cid:durableId="1655721535">
    <w:abstractNumId w:val="3"/>
  </w:num>
  <w:num w:numId="13" w16cid:durableId="1612324305">
    <w:abstractNumId w:val="38"/>
  </w:num>
  <w:num w:numId="14" w16cid:durableId="425426594">
    <w:abstractNumId w:val="24"/>
  </w:num>
  <w:num w:numId="15" w16cid:durableId="441267055">
    <w:abstractNumId w:val="32"/>
  </w:num>
  <w:num w:numId="16" w16cid:durableId="1910925073">
    <w:abstractNumId w:val="14"/>
  </w:num>
  <w:num w:numId="17" w16cid:durableId="1440180346">
    <w:abstractNumId w:val="10"/>
  </w:num>
  <w:num w:numId="18" w16cid:durableId="55208582">
    <w:abstractNumId w:val="8"/>
  </w:num>
  <w:num w:numId="19" w16cid:durableId="1455372107">
    <w:abstractNumId w:val="44"/>
  </w:num>
  <w:num w:numId="20" w16cid:durableId="676035559">
    <w:abstractNumId w:val="19"/>
  </w:num>
  <w:num w:numId="21" w16cid:durableId="522666732">
    <w:abstractNumId w:val="15"/>
  </w:num>
  <w:num w:numId="22" w16cid:durableId="1244755818">
    <w:abstractNumId w:val="16"/>
  </w:num>
  <w:num w:numId="23" w16cid:durableId="362289040">
    <w:abstractNumId w:val="22"/>
  </w:num>
  <w:num w:numId="24" w16cid:durableId="1217353954">
    <w:abstractNumId w:val="45"/>
  </w:num>
  <w:num w:numId="25" w16cid:durableId="1704285563">
    <w:abstractNumId w:val="7"/>
  </w:num>
  <w:num w:numId="26" w16cid:durableId="845556766">
    <w:abstractNumId w:val="33"/>
  </w:num>
  <w:num w:numId="27" w16cid:durableId="1378043716">
    <w:abstractNumId w:val="43"/>
  </w:num>
  <w:num w:numId="28" w16cid:durableId="842013037">
    <w:abstractNumId w:val="30"/>
  </w:num>
  <w:num w:numId="29" w16cid:durableId="1781416927">
    <w:abstractNumId w:val="42"/>
  </w:num>
  <w:num w:numId="30" w16cid:durableId="1091975363">
    <w:abstractNumId w:val="2"/>
  </w:num>
  <w:num w:numId="31" w16cid:durableId="2079477140">
    <w:abstractNumId w:val="27"/>
  </w:num>
  <w:num w:numId="32" w16cid:durableId="2110084211">
    <w:abstractNumId w:val="5"/>
  </w:num>
  <w:num w:numId="33" w16cid:durableId="1230312148">
    <w:abstractNumId w:val="23"/>
  </w:num>
  <w:num w:numId="34" w16cid:durableId="83452457">
    <w:abstractNumId w:val="11"/>
  </w:num>
  <w:num w:numId="35" w16cid:durableId="186259426">
    <w:abstractNumId w:val="47"/>
  </w:num>
  <w:num w:numId="36" w16cid:durableId="1607930746">
    <w:abstractNumId w:val="20"/>
  </w:num>
  <w:num w:numId="37" w16cid:durableId="1018578094">
    <w:abstractNumId w:val="35"/>
  </w:num>
  <w:num w:numId="38" w16cid:durableId="556087162">
    <w:abstractNumId w:val="9"/>
  </w:num>
  <w:num w:numId="39" w16cid:durableId="15810101">
    <w:abstractNumId w:val="34"/>
  </w:num>
  <w:num w:numId="40" w16cid:durableId="952593782">
    <w:abstractNumId w:val="40"/>
  </w:num>
  <w:num w:numId="41" w16cid:durableId="1554122067">
    <w:abstractNumId w:val="12"/>
  </w:num>
  <w:num w:numId="42" w16cid:durableId="1070620743">
    <w:abstractNumId w:val="21"/>
  </w:num>
  <w:num w:numId="43" w16cid:durableId="227805437">
    <w:abstractNumId w:val="31"/>
  </w:num>
  <w:num w:numId="44" w16cid:durableId="1560020717">
    <w:abstractNumId w:val="36"/>
  </w:num>
  <w:num w:numId="45" w16cid:durableId="1435326435">
    <w:abstractNumId w:val="29"/>
  </w:num>
  <w:num w:numId="46" w16cid:durableId="895895032">
    <w:abstractNumId w:val="28"/>
  </w:num>
  <w:num w:numId="47" w16cid:durableId="692612003">
    <w:abstractNumId w:val="26"/>
  </w:num>
  <w:num w:numId="48" w16cid:durableId="17114129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15"/>
    <w:rsid w:val="000007C5"/>
    <w:rsid w:val="000012EB"/>
    <w:rsid w:val="00001A3C"/>
    <w:rsid w:val="00001A61"/>
    <w:rsid w:val="00003443"/>
    <w:rsid w:val="00003578"/>
    <w:rsid w:val="000035BE"/>
    <w:rsid w:val="0000395C"/>
    <w:rsid w:val="00003DB6"/>
    <w:rsid w:val="00003EC4"/>
    <w:rsid w:val="00004017"/>
    <w:rsid w:val="00004310"/>
    <w:rsid w:val="00004414"/>
    <w:rsid w:val="000054CB"/>
    <w:rsid w:val="000064F2"/>
    <w:rsid w:val="000067A4"/>
    <w:rsid w:val="0000707B"/>
    <w:rsid w:val="00007F72"/>
    <w:rsid w:val="000100C3"/>
    <w:rsid w:val="00010305"/>
    <w:rsid w:val="00010420"/>
    <w:rsid w:val="00011916"/>
    <w:rsid w:val="000133BB"/>
    <w:rsid w:val="0001461A"/>
    <w:rsid w:val="00014846"/>
    <w:rsid w:val="00014DD7"/>
    <w:rsid w:val="000160C6"/>
    <w:rsid w:val="0001628C"/>
    <w:rsid w:val="000163ED"/>
    <w:rsid w:val="0001640F"/>
    <w:rsid w:val="00016979"/>
    <w:rsid w:val="000176AE"/>
    <w:rsid w:val="000178AA"/>
    <w:rsid w:val="000200D9"/>
    <w:rsid w:val="00020AE8"/>
    <w:rsid w:val="00021496"/>
    <w:rsid w:val="00021B76"/>
    <w:rsid w:val="00021FD6"/>
    <w:rsid w:val="000238E3"/>
    <w:rsid w:val="00023B57"/>
    <w:rsid w:val="00024D5C"/>
    <w:rsid w:val="000254C2"/>
    <w:rsid w:val="00030B3D"/>
    <w:rsid w:val="00030FFE"/>
    <w:rsid w:val="00031623"/>
    <w:rsid w:val="00031674"/>
    <w:rsid w:val="00031B70"/>
    <w:rsid w:val="00031BD9"/>
    <w:rsid w:val="00032348"/>
    <w:rsid w:val="00035223"/>
    <w:rsid w:val="00035879"/>
    <w:rsid w:val="00040445"/>
    <w:rsid w:val="0004064A"/>
    <w:rsid w:val="0004143C"/>
    <w:rsid w:val="000419F6"/>
    <w:rsid w:val="00042417"/>
    <w:rsid w:val="0004242F"/>
    <w:rsid w:val="0004257E"/>
    <w:rsid w:val="000428E4"/>
    <w:rsid w:val="000437E5"/>
    <w:rsid w:val="00044C29"/>
    <w:rsid w:val="00044EEF"/>
    <w:rsid w:val="00045357"/>
    <w:rsid w:val="00046D40"/>
    <w:rsid w:val="00047193"/>
    <w:rsid w:val="00050176"/>
    <w:rsid w:val="00050C61"/>
    <w:rsid w:val="00051019"/>
    <w:rsid w:val="00051B00"/>
    <w:rsid w:val="00051E33"/>
    <w:rsid w:val="0005252B"/>
    <w:rsid w:val="00052EC2"/>
    <w:rsid w:val="0005313B"/>
    <w:rsid w:val="000531DF"/>
    <w:rsid w:val="00053DCB"/>
    <w:rsid w:val="00056171"/>
    <w:rsid w:val="00056415"/>
    <w:rsid w:val="00056948"/>
    <w:rsid w:val="00056B2D"/>
    <w:rsid w:val="000575EA"/>
    <w:rsid w:val="000608DB"/>
    <w:rsid w:val="00060C89"/>
    <w:rsid w:val="00061D3F"/>
    <w:rsid w:val="00063025"/>
    <w:rsid w:val="000637AB"/>
    <w:rsid w:val="00065D5C"/>
    <w:rsid w:val="000662BC"/>
    <w:rsid w:val="000674D9"/>
    <w:rsid w:val="000705A3"/>
    <w:rsid w:val="00071449"/>
    <w:rsid w:val="00072D18"/>
    <w:rsid w:val="00073410"/>
    <w:rsid w:val="000734BB"/>
    <w:rsid w:val="000735EA"/>
    <w:rsid w:val="00075D9A"/>
    <w:rsid w:val="00075E00"/>
    <w:rsid w:val="000761A2"/>
    <w:rsid w:val="000768A6"/>
    <w:rsid w:val="0007702B"/>
    <w:rsid w:val="00077A3C"/>
    <w:rsid w:val="0008029C"/>
    <w:rsid w:val="00080C8A"/>
    <w:rsid w:val="00080EB8"/>
    <w:rsid w:val="00081A0F"/>
    <w:rsid w:val="0008215F"/>
    <w:rsid w:val="00082CCE"/>
    <w:rsid w:val="00083ED9"/>
    <w:rsid w:val="00084DBC"/>
    <w:rsid w:val="00085882"/>
    <w:rsid w:val="00085E78"/>
    <w:rsid w:val="000867F3"/>
    <w:rsid w:val="00086D1F"/>
    <w:rsid w:val="0009076D"/>
    <w:rsid w:val="00090892"/>
    <w:rsid w:val="0009269E"/>
    <w:rsid w:val="00093FA3"/>
    <w:rsid w:val="00094683"/>
    <w:rsid w:val="00094CA4"/>
    <w:rsid w:val="00095C63"/>
    <w:rsid w:val="00096BD7"/>
    <w:rsid w:val="00097ACC"/>
    <w:rsid w:val="000A1B29"/>
    <w:rsid w:val="000A1FF9"/>
    <w:rsid w:val="000A2884"/>
    <w:rsid w:val="000A28F7"/>
    <w:rsid w:val="000A2FBD"/>
    <w:rsid w:val="000A436F"/>
    <w:rsid w:val="000B1027"/>
    <w:rsid w:val="000B1C25"/>
    <w:rsid w:val="000B1EBC"/>
    <w:rsid w:val="000B21E1"/>
    <w:rsid w:val="000B2328"/>
    <w:rsid w:val="000B2555"/>
    <w:rsid w:val="000B27D3"/>
    <w:rsid w:val="000B27FE"/>
    <w:rsid w:val="000B33A7"/>
    <w:rsid w:val="000B35DD"/>
    <w:rsid w:val="000B3F21"/>
    <w:rsid w:val="000B45AA"/>
    <w:rsid w:val="000B49D3"/>
    <w:rsid w:val="000B5676"/>
    <w:rsid w:val="000B77ED"/>
    <w:rsid w:val="000B789C"/>
    <w:rsid w:val="000C0877"/>
    <w:rsid w:val="000C110F"/>
    <w:rsid w:val="000C295F"/>
    <w:rsid w:val="000C3B75"/>
    <w:rsid w:val="000C3BE3"/>
    <w:rsid w:val="000C3F62"/>
    <w:rsid w:val="000C551B"/>
    <w:rsid w:val="000C6B0E"/>
    <w:rsid w:val="000C7DBF"/>
    <w:rsid w:val="000D0516"/>
    <w:rsid w:val="000D0D35"/>
    <w:rsid w:val="000D13C8"/>
    <w:rsid w:val="000D15FC"/>
    <w:rsid w:val="000D2032"/>
    <w:rsid w:val="000D537B"/>
    <w:rsid w:val="000D658B"/>
    <w:rsid w:val="000E09F5"/>
    <w:rsid w:val="000E3AC2"/>
    <w:rsid w:val="000E56AA"/>
    <w:rsid w:val="000E6FEB"/>
    <w:rsid w:val="000F0EE4"/>
    <w:rsid w:val="000F22F2"/>
    <w:rsid w:val="000F283D"/>
    <w:rsid w:val="000F2E43"/>
    <w:rsid w:val="000F4283"/>
    <w:rsid w:val="000F43DE"/>
    <w:rsid w:val="000F4FDA"/>
    <w:rsid w:val="000F554E"/>
    <w:rsid w:val="000F5BFB"/>
    <w:rsid w:val="000F7AC7"/>
    <w:rsid w:val="000F7CD9"/>
    <w:rsid w:val="000F7D29"/>
    <w:rsid w:val="00100B3C"/>
    <w:rsid w:val="001015EC"/>
    <w:rsid w:val="00101C27"/>
    <w:rsid w:val="00102561"/>
    <w:rsid w:val="00102EB9"/>
    <w:rsid w:val="00103354"/>
    <w:rsid w:val="0010349B"/>
    <w:rsid w:val="00103B92"/>
    <w:rsid w:val="00103EFA"/>
    <w:rsid w:val="001043A9"/>
    <w:rsid w:val="0010481E"/>
    <w:rsid w:val="00105965"/>
    <w:rsid w:val="00107CF0"/>
    <w:rsid w:val="00110375"/>
    <w:rsid w:val="00111C55"/>
    <w:rsid w:val="00113C7E"/>
    <w:rsid w:val="00114971"/>
    <w:rsid w:val="001150F3"/>
    <w:rsid w:val="00115236"/>
    <w:rsid w:val="00116EDE"/>
    <w:rsid w:val="00117D5E"/>
    <w:rsid w:val="00120580"/>
    <w:rsid w:val="00121A83"/>
    <w:rsid w:val="00121E71"/>
    <w:rsid w:val="001222E8"/>
    <w:rsid w:val="00123688"/>
    <w:rsid w:val="00123BCA"/>
    <w:rsid w:val="00124E76"/>
    <w:rsid w:val="00125E33"/>
    <w:rsid w:val="001274F1"/>
    <w:rsid w:val="00127843"/>
    <w:rsid w:val="00127E9A"/>
    <w:rsid w:val="00130D5E"/>
    <w:rsid w:val="001322D4"/>
    <w:rsid w:val="00134046"/>
    <w:rsid w:val="0013514F"/>
    <w:rsid w:val="00135AB4"/>
    <w:rsid w:val="00135CF4"/>
    <w:rsid w:val="0013604E"/>
    <w:rsid w:val="0013612D"/>
    <w:rsid w:val="00136A70"/>
    <w:rsid w:val="00137258"/>
    <w:rsid w:val="001375F3"/>
    <w:rsid w:val="00137E6E"/>
    <w:rsid w:val="001410BF"/>
    <w:rsid w:val="00141466"/>
    <w:rsid w:val="00142F9F"/>
    <w:rsid w:val="001435CC"/>
    <w:rsid w:val="00143880"/>
    <w:rsid w:val="00143EF6"/>
    <w:rsid w:val="00144B32"/>
    <w:rsid w:val="00146D4E"/>
    <w:rsid w:val="001470A1"/>
    <w:rsid w:val="00151056"/>
    <w:rsid w:val="001519D3"/>
    <w:rsid w:val="00151CD6"/>
    <w:rsid w:val="00151E0A"/>
    <w:rsid w:val="0015260F"/>
    <w:rsid w:val="00152AD4"/>
    <w:rsid w:val="00152CD8"/>
    <w:rsid w:val="00153A2F"/>
    <w:rsid w:val="0015497B"/>
    <w:rsid w:val="00155314"/>
    <w:rsid w:val="00157E53"/>
    <w:rsid w:val="0016005F"/>
    <w:rsid w:val="00160484"/>
    <w:rsid w:val="00161BC4"/>
    <w:rsid w:val="00163ED2"/>
    <w:rsid w:val="001642FC"/>
    <w:rsid w:val="001668C0"/>
    <w:rsid w:val="00172323"/>
    <w:rsid w:val="00172C43"/>
    <w:rsid w:val="00174453"/>
    <w:rsid w:val="0017485F"/>
    <w:rsid w:val="001759FA"/>
    <w:rsid w:val="00175CAA"/>
    <w:rsid w:val="00176094"/>
    <w:rsid w:val="0017797C"/>
    <w:rsid w:val="00177C3C"/>
    <w:rsid w:val="001801BC"/>
    <w:rsid w:val="0018025B"/>
    <w:rsid w:val="0018083D"/>
    <w:rsid w:val="00181765"/>
    <w:rsid w:val="00183279"/>
    <w:rsid w:val="00183B34"/>
    <w:rsid w:val="00185664"/>
    <w:rsid w:val="001859EB"/>
    <w:rsid w:val="00185C01"/>
    <w:rsid w:val="00187166"/>
    <w:rsid w:val="00187890"/>
    <w:rsid w:val="00190395"/>
    <w:rsid w:val="0019042E"/>
    <w:rsid w:val="00190C73"/>
    <w:rsid w:val="001918AD"/>
    <w:rsid w:val="00193138"/>
    <w:rsid w:val="001949ED"/>
    <w:rsid w:val="00195145"/>
    <w:rsid w:val="00195478"/>
    <w:rsid w:val="001957CF"/>
    <w:rsid w:val="001967B5"/>
    <w:rsid w:val="00196B02"/>
    <w:rsid w:val="00196CBA"/>
    <w:rsid w:val="00197CAC"/>
    <w:rsid w:val="001A001E"/>
    <w:rsid w:val="001A048C"/>
    <w:rsid w:val="001A0F33"/>
    <w:rsid w:val="001A118F"/>
    <w:rsid w:val="001A1931"/>
    <w:rsid w:val="001A196F"/>
    <w:rsid w:val="001A20F7"/>
    <w:rsid w:val="001A257C"/>
    <w:rsid w:val="001A2B8C"/>
    <w:rsid w:val="001A32F5"/>
    <w:rsid w:val="001A52C9"/>
    <w:rsid w:val="001A604F"/>
    <w:rsid w:val="001A6BF9"/>
    <w:rsid w:val="001A7619"/>
    <w:rsid w:val="001A7E94"/>
    <w:rsid w:val="001B0128"/>
    <w:rsid w:val="001B0696"/>
    <w:rsid w:val="001B0B0C"/>
    <w:rsid w:val="001B1194"/>
    <w:rsid w:val="001B2671"/>
    <w:rsid w:val="001B2978"/>
    <w:rsid w:val="001B2B15"/>
    <w:rsid w:val="001B3B89"/>
    <w:rsid w:val="001B3CF2"/>
    <w:rsid w:val="001B421B"/>
    <w:rsid w:val="001B46E3"/>
    <w:rsid w:val="001B751A"/>
    <w:rsid w:val="001C0095"/>
    <w:rsid w:val="001C0BF9"/>
    <w:rsid w:val="001C1BD5"/>
    <w:rsid w:val="001C2310"/>
    <w:rsid w:val="001C3F9C"/>
    <w:rsid w:val="001C5AED"/>
    <w:rsid w:val="001C7169"/>
    <w:rsid w:val="001D167E"/>
    <w:rsid w:val="001D199E"/>
    <w:rsid w:val="001D2204"/>
    <w:rsid w:val="001D2469"/>
    <w:rsid w:val="001D56F4"/>
    <w:rsid w:val="001D5D45"/>
    <w:rsid w:val="001D6085"/>
    <w:rsid w:val="001E0336"/>
    <w:rsid w:val="001E064B"/>
    <w:rsid w:val="001E11D6"/>
    <w:rsid w:val="001E1AD7"/>
    <w:rsid w:val="001E1BBF"/>
    <w:rsid w:val="001E27B0"/>
    <w:rsid w:val="001E2CDB"/>
    <w:rsid w:val="001E2F01"/>
    <w:rsid w:val="001E3671"/>
    <w:rsid w:val="001E3C2E"/>
    <w:rsid w:val="001E5526"/>
    <w:rsid w:val="001E55D6"/>
    <w:rsid w:val="001E55E0"/>
    <w:rsid w:val="001E570A"/>
    <w:rsid w:val="001E6789"/>
    <w:rsid w:val="001F1BA6"/>
    <w:rsid w:val="001F2011"/>
    <w:rsid w:val="001F440B"/>
    <w:rsid w:val="001F4FB4"/>
    <w:rsid w:val="001F5381"/>
    <w:rsid w:val="001F5B53"/>
    <w:rsid w:val="001F7784"/>
    <w:rsid w:val="00200517"/>
    <w:rsid w:val="00200F88"/>
    <w:rsid w:val="002015C7"/>
    <w:rsid w:val="00201974"/>
    <w:rsid w:val="002037B9"/>
    <w:rsid w:val="002038F8"/>
    <w:rsid w:val="0020464A"/>
    <w:rsid w:val="00205D2B"/>
    <w:rsid w:val="002062FB"/>
    <w:rsid w:val="00206342"/>
    <w:rsid w:val="00207F72"/>
    <w:rsid w:val="002136BC"/>
    <w:rsid w:val="00213ADC"/>
    <w:rsid w:val="00213EBA"/>
    <w:rsid w:val="00215A35"/>
    <w:rsid w:val="00215EF3"/>
    <w:rsid w:val="002176DE"/>
    <w:rsid w:val="00217E83"/>
    <w:rsid w:val="00217F23"/>
    <w:rsid w:val="00221233"/>
    <w:rsid w:val="002214C2"/>
    <w:rsid w:val="002218E6"/>
    <w:rsid w:val="00222998"/>
    <w:rsid w:val="00222C7D"/>
    <w:rsid w:val="00223EE2"/>
    <w:rsid w:val="002250EF"/>
    <w:rsid w:val="0022699D"/>
    <w:rsid w:val="00226CBD"/>
    <w:rsid w:val="00226FA6"/>
    <w:rsid w:val="002301B9"/>
    <w:rsid w:val="002313BD"/>
    <w:rsid w:val="0023146C"/>
    <w:rsid w:val="00231C00"/>
    <w:rsid w:val="00232056"/>
    <w:rsid w:val="0023305F"/>
    <w:rsid w:val="00234894"/>
    <w:rsid w:val="0023526C"/>
    <w:rsid w:val="00236918"/>
    <w:rsid w:val="00236DED"/>
    <w:rsid w:val="0023702F"/>
    <w:rsid w:val="002376A1"/>
    <w:rsid w:val="00237F89"/>
    <w:rsid w:val="002404C6"/>
    <w:rsid w:val="002411DF"/>
    <w:rsid w:val="0024183C"/>
    <w:rsid w:val="002427FA"/>
    <w:rsid w:val="00242D41"/>
    <w:rsid w:val="00243558"/>
    <w:rsid w:val="0024441C"/>
    <w:rsid w:val="00244A4B"/>
    <w:rsid w:val="00244B6B"/>
    <w:rsid w:val="00245156"/>
    <w:rsid w:val="00246D71"/>
    <w:rsid w:val="00250741"/>
    <w:rsid w:val="0025174C"/>
    <w:rsid w:val="002527C9"/>
    <w:rsid w:val="00253BE9"/>
    <w:rsid w:val="0025734E"/>
    <w:rsid w:val="002573D0"/>
    <w:rsid w:val="002576FC"/>
    <w:rsid w:val="00260413"/>
    <w:rsid w:val="002607D5"/>
    <w:rsid w:val="00260818"/>
    <w:rsid w:val="0026269E"/>
    <w:rsid w:val="00262A8C"/>
    <w:rsid w:val="00262B41"/>
    <w:rsid w:val="00262D39"/>
    <w:rsid w:val="00263AB0"/>
    <w:rsid w:val="00264B3D"/>
    <w:rsid w:val="00266694"/>
    <w:rsid w:val="00266EF3"/>
    <w:rsid w:val="00267B1D"/>
    <w:rsid w:val="00270BE6"/>
    <w:rsid w:val="002725D6"/>
    <w:rsid w:val="00272C47"/>
    <w:rsid w:val="002742FE"/>
    <w:rsid w:val="00275711"/>
    <w:rsid w:val="00275B6B"/>
    <w:rsid w:val="002768D9"/>
    <w:rsid w:val="00277304"/>
    <w:rsid w:val="002776AB"/>
    <w:rsid w:val="0027778D"/>
    <w:rsid w:val="00280079"/>
    <w:rsid w:val="00280A74"/>
    <w:rsid w:val="00280C21"/>
    <w:rsid w:val="00280CD0"/>
    <w:rsid w:val="0028309A"/>
    <w:rsid w:val="002834C8"/>
    <w:rsid w:val="00283DE4"/>
    <w:rsid w:val="002844F1"/>
    <w:rsid w:val="00284D1C"/>
    <w:rsid w:val="00284DCA"/>
    <w:rsid w:val="0028518F"/>
    <w:rsid w:val="002856E3"/>
    <w:rsid w:val="00286F59"/>
    <w:rsid w:val="00287227"/>
    <w:rsid w:val="00290E9A"/>
    <w:rsid w:val="0029125D"/>
    <w:rsid w:val="00291A8B"/>
    <w:rsid w:val="002920DC"/>
    <w:rsid w:val="00293B92"/>
    <w:rsid w:val="00294B59"/>
    <w:rsid w:val="002955E8"/>
    <w:rsid w:val="002971DE"/>
    <w:rsid w:val="002A08DD"/>
    <w:rsid w:val="002A0AC6"/>
    <w:rsid w:val="002A2D9E"/>
    <w:rsid w:val="002A42E5"/>
    <w:rsid w:val="002A4778"/>
    <w:rsid w:val="002A4968"/>
    <w:rsid w:val="002A52AE"/>
    <w:rsid w:val="002A6CC8"/>
    <w:rsid w:val="002B05BA"/>
    <w:rsid w:val="002B083D"/>
    <w:rsid w:val="002B1B61"/>
    <w:rsid w:val="002B2959"/>
    <w:rsid w:val="002B3C32"/>
    <w:rsid w:val="002B3CC3"/>
    <w:rsid w:val="002B4246"/>
    <w:rsid w:val="002B5C87"/>
    <w:rsid w:val="002B6630"/>
    <w:rsid w:val="002B6D30"/>
    <w:rsid w:val="002C0E78"/>
    <w:rsid w:val="002C11D0"/>
    <w:rsid w:val="002C2929"/>
    <w:rsid w:val="002C2F38"/>
    <w:rsid w:val="002C34C2"/>
    <w:rsid w:val="002C363C"/>
    <w:rsid w:val="002C430D"/>
    <w:rsid w:val="002C4873"/>
    <w:rsid w:val="002C562A"/>
    <w:rsid w:val="002C5FE5"/>
    <w:rsid w:val="002C64A9"/>
    <w:rsid w:val="002C69BE"/>
    <w:rsid w:val="002C7B34"/>
    <w:rsid w:val="002D0D30"/>
    <w:rsid w:val="002D1F6F"/>
    <w:rsid w:val="002D2258"/>
    <w:rsid w:val="002D4B07"/>
    <w:rsid w:val="002D5BC0"/>
    <w:rsid w:val="002D6E02"/>
    <w:rsid w:val="002E0CA3"/>
    <w:rsid w:val="002E0F76"/>
    <w:rsid w:val="002E17DF"/>
    <w:rsid w:val="002E4806"/>
    <w:rsid w:val="002E49BE"/>
    <w:rsid w:val="002E5311"/>
    <w:rsid w:val="002E5578"/>
    <w:rsid w:val="002E572E"/>
    <w:rsid w:val="002E6898"/>
    <w:rsid w:val="002E68E6"/>
    <w:rsid w:val="002E7910"/>
    <w:rsid w:val="002F2E41"/>
    <w:rsid w:val="002F5A96"/>
    <w:rsid w:val="002F5D2B"/>
    <w:rsid w:val="002F5E7D"/>
    <w:rsid w:val="002F62AA"/>
    <w:rsid w:val="002F66BD"/>
    <w:rsid w:val="002F72D1"/>
    <w:rsid w:val="002F799F"/>
    <w:rsid w:val="003000F5"/>
    <w:rsid w:val="00300798"/>
    <w:rsid w:val="0030141B"/>
    <w:rsid w:val="00303183"/>
    <w:rsid w:val="003035D3"/>
    <w:rsid w:val="00304399"/>
    <w:rsid w:val="0030445F"/>
    <w:rsid w:val="00304F53"/>
    <w:rsid w:val="00304FA8"/>
    <w:rsid w:val="0030525E"/>
    <w:rsid w:val="003054BA"/>
    <w:rsid w:val="0030580D"/>
    <w:rsid w:val="00306058"/>
    <w:rsid w:val="0030686A"/>
    <w:rsid w:val="00307872"/>
    <w:rsid w:val="00310584"/>
    <w:rsid w:val="0031075C"/>
    <w:rsid w:val="0031208D"/>
    <w:rsid w:val="0031217C"/>
    <w:rsid w:val="00312648"/>
    <w:rsid w:val="00312DEE"/>
    <w:rsid w:val="0031378B"/>
    <w:rsid w:val="00313D03"/>
    <w:rsid w:val="00314093"/>
    <w:rsid w:val="003143AF"/>
    <w:rsid w:val="00314541"/>
    <w:rsid w:val="00314D5B"/>
    <w:rsid w:val="00314F01"/>
    <w:rsid w:val="00315397"/>
    <w:rsid w:val="00316EB5"/>
    <w:rsid w:val="00317CA7"/>
    <w:rsid w:val="00317F52"/>
    <w:rsid w:val="003207C4"/>
    <w:rsid w:val="00321AB8"/>
    <w:rsid w:val="00321CAA"/>
    <w:rsid w:val="003240D3"/>
    <w:rsid w:val="00324DEB"/>
    <w:rsid w:val="003253DF"/>
    <w:rsid w:val="0033041C"/>
    <w:rsid w:val="00332185"/>
    <w:rsid w:val="0033228E"/>
    <w:rsid w:val="003349FF"/>
    <w:rsid w:val="00334B57"/>
    <w:rsid w:val="00334FCA"/>
    <w:rsid w:val="00335226"/>
    <w:rsid w:val="00335A6A"/>
    <w:rsid w:val="00335F6A"/>
    <w:rsid w:val="003365AE"/>
    <w:rsid w:val="00337BFE"/>
    <w:rsid w:val="00337ECF"/>
    <w:rsid w:val="00341B4C"/>
    <w:rsid w:val="00341EF7"/>
    <w:rsid w:val="00341FED"/>
    <w:rsid w:val="00343658"/>
    <w:rsid w:val="00343A1D"/>
    <w:rsid w:val="00343BF5"/>
    <w:rsid w:val="00344873"/>
    <w:rsid w:val="00344FAA"/>
    <w:rsid w:val="00345068"/>
    <w:rsid w:val="0034598D"/>
    <w:rsid w:val="003461A2"/>
    <w:rsid w:val="00346D83"/>
    <w:rsid w:val="0034702E"/>
    <w:rsid w:val="003471CD"/>
    <w:rsid w:val="0035066E"/>
    <w:rsid w:val="003516CB"/>
    <w:rsid w:val="00351AD1"/>
    <w:rsid w:val="00351EEA"/>
    <w:rsid w:val="003559A2"/>
    <w:rsid w:val="0035627D"/>
    <w:rsid w:val="00356658"/>
    <w:rsid w:val="00357778"/>
    <w:rsid w:val="00360538"/>
    <w:rsid w:val="00361480"/>
    <w:rsid w:val="00361804"/>
    <w:rsid w:val="003618B9"/>
    <w:rsid w:val="00361F17"/>
    <w:rsid w:val="003627AC"/>
    <w:rsid w:val="0036421F"/>
    <w:rsid w:val="0036499A"/>
    <w:rsid w:val="003661D5"/>
    <w:rsid w:val="003662EF"/>
    <w:rsid w:val="00366490"/>
    <w:rsid w:val="00366613"/>
    <w:rsid w:val="00366A08"/>
    <w:rsid w:val="0037063D"/>
    <w:rsid w:val="0037102A"/>
    <w:rsid w:val="00371592"/>
    <w:rsid w:val="00371AD2"/>
    <w:rsid w:val="003723A3"/>
    <w:rsid w:val="00372753"/>
    <w:rsid w:val="00373361"/>
    <w:rsid w:val="00373582"/>
    <w:rsid w:val="00373F39"/>
    <w:rsid w:val="003758C6"/>
    <w:rsid w:val="00375D9D"/>
    <w:rsid w:val="00375E34"/>
    <w:rsid w:val="0037620B"/>
    <w:rsid w:val="003771F2"/>
    <w:rsid w:val="0038167E"/>
    <w:rsid w:val="00381735"/>
    <w:rsid w:val="003819FC"/>
    <w:rsid w:val="00381A3E"/>
    <w:rsid w:val="003830DA"/>
    <w:rsid w:val="00383E9B"/>
    <w:rsid w:val="003849B7"/>
    <w:rsid w:val="00384EF6"/>
    <w:rsid w:val="00387E51"/>
    <w:rsid w:val="00390518"/>
    <w:rsid w:val="0039209A"/>
    <w:rsid w:val="00392CA2"/>
    <w:rsid w:val="0039341F"/>
    <w:rsid w:val="003937FF"/>
    <w:rsid w:val="003939C7"/>
    <w:rsid w:val="00394325"/>
    <w:rsid w:val="00394AE4"/>
    <w:rsid w:val="00394E2F"/>
    <w:rsid w:val="0039520B"/>
    <w:rsid w:val="00395BAD"/>
    <w:rsid w:val="00395E81"/>
    <w:rsid w:val="00395F0B"/>
    <w:rsid w:val="00396ECD"/>
    <w:rsid w:val="003971DC"/>
    <w:rsid w:val="003974C0"/>
    <w:rsid w:val="00397615"/>
    <w:rsid w:val="003A29C3"/>
    <w:rsid w:val="003A3C26"/>
    <w:rsid w:val="003A4579"/>
    <w:rsid w:val="003A4A99"/>
    <w:rsid w:val="003A541A"/>
    <w:rsid w:val="003A67D3"/>
    <w:rsid w:val="003A74F8"/>
    <w:rsid w:val="003A7587"/>
    <w:rsid w:val="003B0858"/>
    <w:rsid w:val="003B102D"/>
    <w:rsid w:val="003B1132"/>
    <w:rsid w:val="003B14DE"/>
    <w:rsid w:val="003B1A92"/>
    <w:rsid w:val="003B1F81"/>
    <w:rsid w:val="003B2062"/>
    <w:rsid w:val="003B2CE4"/>
    <w:rsid w:val="003B3DB6"/>
    <w:rsid w:val="003B3EEE"/>
    <w:rsid w:val="003B4206"/>
    <w:rsid w:val="003B4FBB"/>
    <w:rsid w:val="003B6888"/>
    <w:rsid w:val="003C0250"/>
    <w:rsid w:val="003C0806"/>
    <w:rsid w:val="003C0CF8"/>
    <w:rsid w:val="003C216E"/>
    <w:rsid w:val="003C2D6F"/>
    <w:rsid w:val="003C32BA"/>
    <w:rsid w:val="003C3BAA"/>
    <w:rsid w:val="003C43BA"/>
    <w:rsid w:val="003C4766"/>
    <w:rsid w:val="003C4D27"/>
    <w:rsid w:val="003C5196"/>
    <w:rsid w:val="003C5A30"/>
    <w:rsid w:val="003C6E95"/>
    <w:rsid w:val="003C6FF9"/>
    <w:rsid w:val="003C7AC9"/>
    <w:rsid w:val="003D028F"/>
    <w:rsid w:val="003D0BF9"/>
    <w:rsid w:val="003D0FEA"/>
    <w:rsid w:val="003D17F6"/>
    <w:rsid w:val="003D1911"/>
    <w:rsid w:val="003D1BBB"/>
    <w:rsid w:val="003D2B4C"/>
    <w:rsid w:val="003D303B"/>
    <w:rsid w:val="003D3AA0"/>
    <w:rsid w:val="003D4F5C"/>
    <w:rsid w:val="003D535A"/>
    <w:rsid w:val="003D54A9"/>
    <w:rsid w:val="003D69FF"/>
    <w:rsid w:val="003E02D5"/>
    <w:rsid w:val="003E04F8"/>
    <w:rsid w:val="003E0E42"/>
    <w:rsid w:val="003E2654"/>
    <w:rsid w:val="003E2F1C"/>
    <w:rsid w:val="003E3F5C"/>
    <w:rsid w:val="003E5CBB"/>
    <w:rsid w:val="003E5D5E"/>
    <w:rsid w:val="003E6519"/>
    <w:rsid w:val="003E671E"/>
    <w:rsid w:val="003E6FE3"/>
    <w:rsid w:val="003E7FB3"/>
    <w:rsid w:val="003F1822"/>
    <w:rsid w:val="003F1C9D"/>
    <w:rsid w:val="003F1CF7"/>
    <w:rsid w:val="003F2637"/>
    <w:rsid w:val="003F29B7"/>
    <w:rsid w:val="003F3445"/>
    <w:rsid w:val="003F4F8E"/>
    <w:rsid w:val="003F5706"/>
    <w:rsid w:val="003F5797"/>
    <w:rsid w:val="003F58F1"/>
    <w:rsid w:val="003F5E56"/>
    <w:rsid w:val="003F676D"/>
    <w:rsid w:val="003F773A"/>
    <w:rsid w:val="003F777F"/>
    <w:rsid w:val="004011C9"/>
    <w:rsid w:val="00402B5D"/>
    <w:rsid w:val="00402D55"/>
    <w:rsid w:val="0040366B"/>
    <w:rsid w:val="004046CA"/>
    <w:rsid w:val="00404DF9"/>
    <w:rsid w:val="004052B0"/>
    <w:rsid w:val="00407008"/>
    <w:rsid w:val="0040754F"/>
    <w:rsid w:val="0040795C"/>
    <w:rsid w:val="0040796D"/>
    <w:rsid w:val="00410A48"/>
    <w:rsid w:val="004110D3"/>
    <w:rsid w:val="004111A8"/>
    <w:rsid w:val="0041140F"/>
    <w:rsid w:val="0041163E"/>
    <w:rsid w:val="00412151"/>
    <w:rsid w:val="00412838"/>
    <w:rsid w:val="004128C5"/>
    <w:rsid w:val="004133A7"/>
    <w:rsid w:val="004133AF"/>
    <w:rsid w:val="00413883"/>
    <w:rsid w:val="00413E93"/>
    <w:rsid w:val="00414369"/>
    <w:rsid w:val="0041627D"/>
    <w:rsid w:val="004162FC"/>
    <w:rsid w:val="004177AF"/>
    <w:rsid w:val="00420935"/>
    <w:rsid w:val="004218CA"/>
    <w:rsid w:val="004231B3"/>
    <w:rsid w:val="004236EA"/>
    <w:rsid w:val="00426CFF"/>
    <w:rsid w:val="004275E7"/>
    <w:rsid w:val="00427F0F"/>
    <w:rsid w:val="00430975"/>
    <w:rsid w:val="00431739"/>
    <w:rsid w:val="00432281"/>
    <w:rsid w:val="0043368F"/>
    <w:rsid w:val="00433BC1"/>
    <w:rsid w:val="00433E06"/>
    <w:rsid w:val="004341D5"/>
    <w:rsid w:val="00436773"/>
    <w:rsid w:val="0043710D"/>
    <w:rsid w:val="004373E6"/>
    <w:rsid w:val="0044018A"/>
    <w:rsid w:val="0044027E"/>
    <w:rsid w:val="00440597"/>
    <w:rsid w:val="00440F45"/>
    <w:rsid w:val="00441417"/>
    <w:rsid w:val="004420C7"/>
    <w:rsid w:val="0044237E"/>
    <w:rsid w:val="00443741"/>
    <w:rsid w:val="00444191"/>
    <w:rsid w:val="00444E43"/>
    <w:rsid w:val="00446E5A"/>
    <w:rsid w:val="004470E0"/>
    <w:rsid w:val="00447BDF"/>
    <w:rsid w:val="004532B2"/>
    <w:rsid w:val="00453D3B"/>
    <w:rsid w:val="00454E4C"/>
    <w:rsid w:val="00455B74"/>
    <w:rsid w:val="00456414"/>
    <w:rsid w:val="004569BB"/>
    <w:rsid w:val="00456A9B"/>
    <w:rsid w:val="004576F1"/>
    <w:rsid w:val="0046002C"/>
    <w:rsid w:val="00460132"/>
    <w:rsid w:val="004611E4"/>
    <w:rsid w:val="0046154F"/>
    <w:rsid w:val="0046259C"/>
    <w:rsid w:val="0046276D"/>
    <w:rsid w:val="00462A4C"/>
    <w:rsid w:val="00463A55"/>
    <w:rsid w:val="00463BCB"/>
    <w:rsid w:val="00463C02"/>
    <w:rsid w:val="00463C5A"/>
    <w:rsid w:val="00464E7A"/>
    <w:rsid w:val="004666C5"/>
    <w:rsid w:val="004705A0"/>
    <w:rsid w:val="00470A72"/>
    <w:rsid w:val="00471119"/>
    <w:rsid w:val="00471FDB"/>
    <w:rsid w:val="004750F4"/>
    <w:rsid w:val="004752A2"/>
    <w:rsid w:val="004756AC"/>
    <w:rsid w:val="004762EB"/>
    <w:rsid w:val="004778F0"/>
    <w:rsid w:val="00477F7E"/>
    <w:rsid w:val="00477F99"/>
    <w:rsid w:val="00480080"/>
    <w:rsid w:val="00480EDF"/>
    <w:rsid w:val="00481AB0"/>
    <w:rsid w:val="00481E68"/>
    <w:rsid w:val="00481FE6"/>
    <w:rsid w:val="004824A2"/>
    <w:rsid w:val="00482564"/>
    <w:rsid w:val="0048346F"/>
    <w:rsid w:val="00483714"/>
    <w:rsid w:val="00486742"/>
    <w:rsid w:val="00487527"/>
    <w:rsid w:val="00490284"/>
    <w:rsid w:val="00490FA1"/>
    <w:rsid w:val="00492E8B"/>
    <w:rsid w:val="00494B39"/>
    <w:rsid w:val="00496DA4"/>
    <w:rsid w:val="00497413"/>
    <w:rsid w:val="004976DC"/>
    <w:rsid w:val="004976F0"/>
    <w:rsid w:val="004A1DB5"/>
    <w:rsid w:val="004A1F92"/>
    <w:rsid w:val="004A2199"/>
    <w:rsid w:val="004A4439"/>
    <w:rsid w:val="004A4B4A"/>
    <w:rsid w:val="004A6CE5"/>
    <w:rsid w:val="004A71F9"/>
    <w:rsid w:val="004A78FC"/>
    <w:rsid w:val="004B0192"/>
    <w:rsid w:val="004B01AE"/>
    <w:rsid w:val="004B09E1"/>
    <w:rsid w:val="004B1632"/>
    <w:rsid w:val="004B1840"/>
    <w:rsid w:val="004B1B92"/>
    <w:rsid w:val="004B582F"/>
    <w:rsid w:val="004B5A2A"/>
    <w:rsid w:val="004B6179"/>
    <w:rsid w:val="004C114B"/>
    <w:rsid w:val="004C119F"/>
    <w:rsid w:val="004C1E0E"/>
    <w:rsid w:val="004C2091"/>
    <w:rsid w:val="004C2EA0"/>
    <w:rsid w:val="004C3F3F"/>
    <w:rsid w:val="004C45E4"/>
    <w:rsid w:val="004C59B5"/>
    <w:rsid w:val="004C6C76"/>
    <w:rsid w:val="004C763E"/>
    <w:rsid w:val="004C7E73"/>
    <w:rsid w:val="004D06A7"/>
    <w:rsid w:val="004D2817"/>
    <w:rsid w:val="004D4D05"/>
    <w:rsid w:val="004D501A"/>
    <w:rsid w:val="004D5085"/>
    <w:rsid w:val="004D535A"/>
    <w:rsid w:val="004D5484"/>
    <w:rsid w:val="004D6BBA"/>
    <w:rsid w:val="004D737C"/>
    <w:rsid w:val="004D74A9"/>
    <w:rsid w:val="004D7D34"/>
    <w:rsid w:val="004E0941"/>
    <w:rsid w:val="004E0960"/>
    <w:rsid w:val="004E0B87"/>
    <w:rsid w:val="004E0EE6"/>
    <w:rsid w:val="004E0FD0"/>
    <w:rsid w:val="004E1CF0"/>
    <w:rsid w:val="004E1F7B"/>
    <w:rsid w:val="004E24A2"/>
    <w:rsid w:val="004E369E"/>
    <w:rsid w:val="004E3F67"/>
    <w:rsid w:val="004E4068"/>
    <w:rsid w:val="004E533C"/>
    <w:rsid w:val="004E552F"/>
    <w:rsid w:val="004E5BA0"/>
    <w:rsid w:val="004E7A0C"/>
    <w:rsid w:val="004F0452"/>
    <w:rsid w:val="004F17D5"/>
    <w:rsid w:val="004F1958"/>
    <w:rsid w:val="004F2D2D"/>
    <w:rsid w:val="004F30D0"/>
    <w:rsid w:val="004F3E96"/>
    <w:rsid w:val="004F621C"/>
    <w:rsid w:val="00500874"/>
    <w:rsid w:val="0050171E"/>
    <w:rsid w:val="005017AB"/>
    <w:rsid w:val="00501EEA"/>
    <w:rsid w:val="0050380F"/>
    <w:rsid w:val="00504CC0"/>
    <w:rsid w:val="00504DFC"/>
    <w:rsid w:val="00505432"/>
    <w:rsid w:val="00505BC7"/>
    <w:rsid w:val="00506C12"/>
    <w:rsid w:val="00506CF2"/>
    <w:rsid w:val="005102C8"/>
    <w:rsid w:val="00510A83"/>
    <w:rsid w:val="00511CC1"/>
    <w:rsid w:val="00513208"/>
    <w:rsid w:val="00513236"/>
    <w:rsid w:val="0051441E"/>
    <w:rsid w:val="005161AE"/>
    <w:rsid w:val="005164EB"/>
    <w:rsid w:val="00516A17"/>
    <w:rsid w:val="0051760A"/>
    <w:rsid w:val="00517E36"/>
    <w:rsid w:val="00517EBB"/>
    <w:rsid w:val="0052160F"/>
    <w:rsid w:val="00521B09"/>
    <w:rsid w:val="00521D68"/>
    <w:rsid w:val="00522384"/>
    <w:rsid w:val="0052245C"/>
    <w:rsid w:val="005227EF"/>
    <w:rsid w:val="00522AB8"/>
    <w:rsid w:val="00523CBF"/>
    <w:rsid w:val="0052401C"/>
    <w:rsid w:val="005256FE"/>
    <w:rsid w:val="00525F38"/>
    <w:rsid w:val="00525FC5"/>
    <w:rsid w:val="005265B3"/>
    <w:rsid w:val="005265F3"/>
    <w:rsid w:val="00527052"/>
    <w:rsid w:val="00527380"/>
    <w:rsid w:val="005306F6"/>
    <w:rsid w:val="00530C06"/>
    <w:rsid w:val="00531181"/>
    <w:rsid w:val="0053126F"/>
    <w:rsid w:val="00531589"/>
    <w:rsid w:val="0053265D"/>
    <w:rsid w:val="005351CF"/>
    <w:rsid w:val="005362F7"/>
    <w:rsid w:val="005377A9"/>
    <w:rsid w:val="00537820"/>
    <w:rsid w:val="00540BDD"/>
    <w:rsid w:val="00541681"/>
    <w:rsid w:val="00541830"/>
    <w:rsid w:val="005420E2"/>
    <w:rsid w:val="0054216B"/>
    <w:rsid w:val="00542402"/>
    <w:rsid w:val="005428B5"/>
    <w:rsid w:val="00544307"/>
    <w:rsid w:val="00544642"/>
    <w:rsid w:val="00544FCD"/>
    <w:rsid w:val="005474E5"/>
    <w:rsid w:val="005510F6"/>
    <w:rsid w:val="0055240F"/>
    <w:rsid w:val="00552596"/>
    <w:rsid w:val="00553264"/>
    <w:rsid w:val="00554AC2"/>
    <w:rsid w:val="00555E0F"/>
    <w:rsid w:val="005563E0"/>
    <w:rsid w:val="00556E89"/>
    <w:rsid w:val="00556EEA"/>
    <w:rsid w:val="0055787E"/>
    <w:rsid w:val="00560134"/>
    <w:rsid w:val="00560277"/>
    <w:rsid w:val="005609BC"/>
    <w:rsid w:val="00560A8C"/>
    <w:rsid w:val="00560F8B"/>
    <w:rsid w:val="005613B2"/>
    <w:rsid w:val="005623E3"/>
    <w:rsid w:val="005626CE"/>
    <w:rsid w:val="005640BC"/>
    <w:rsid w:val="005643E6"/>
    <w:rsid w:val="00565BCF"/>
    <w:rsid w:val="005713CD"/>
    <w:rsid w:val="00571D31"/>
    <w:rsid w:val="00571F16"/>
    <w:rsid w:val="00571FFA"/>
    <w:rsid w:val="00572921"/>
    <w:rsid w:val="00572B59"/>
    <w:rsid w:val="00573F47"/>
    <w:rsid w:val="0057432A"/>
    <w:rsid w:val="00574541"/>
    <w:rsid w:val="005749D3"/>
    <w:rsid w:val="00574CC2"/>
    <w:rsid w:val="00576510"/>
    <w:rsid w:val="00576D27"/>
    <w:rsid w:val="00576F9A"/>
    <w:rsid w:val="00577267"/>
    <w:rsid w:val="005809F6"/>
    <w:rsid w:val="0058179C"/>
    <w:rsid w:val="00581FAD"/>
    <w:rsid w:val="005827F1"/>
    <w:rsid w:val="0058312C"/>
    <w:rsid w:val="005833B5"/>
    <w:rsid w:val="005836C7"/>
    <w:rsid w:val="005841C0"/>
    <w:rsid w:val="005844B4"/>
    <w:rsid w:val="00584C53"/>
    <w:rsid w:val="0058593D"/>
    <w:rsid w:val="00585EE5"/>
    <w:rsid w:val="005863F8"/>
    <w:rsid w:val="00586813"/>
    <w:rsid w:val="005868A6"/>
    <w:rsid w:val="00590F0C"/>
    <w:rsid w:val="00591AFB"/>
    <w:rsid w:val="00593413"/>
    <w:rsid w:val="00593664"/>
    <w:rsid w:val="00593F3E"/>
    <w:rsid w:val="00594C2A"/>
    <w:rsid w:val="00595239"/>
    <w:rsid w:val="00596034"/>
    <w:rsid w:val="005962D9"/>
    <w:rsid w:val="0059642E"/>
    <w:rsid w:val="00596617"/>
    <w:rsid w:val="00596DA0"/>
    <w:rsid w:val="005976E4"/>
    <w:rsid w:val="00597E34"/>
    <w:rsid w:val="005A03DB"/>
    <w:rsid w:val="005A04AF"/>
    <w:rsid w:val="005A0AF2"/>
    <w:rsid w:val="005A1267"/>
    <w:rsid w:val="005A1E99"/>
    <w:rsid w:val="005A1FB8"/>
    <w:rsid w:val="005A37B1"/>
    <w:rsid w:val="005A3FF1"/>
    <w:rsid w:val="005A5A30"/>
    <w:rsid w:val="005A6744"/>
    <w:rsid w:val="005B1CBA"/>
    <w:rsid w:val="005B3461"/>
    <w:rsid w:val="005B34F0"/>
    <w:rsid w:val="005B3A3F"/>
    <w:rsid w:val="005B44D2"/>
    <w:rsid w:val="005B4767"/>
    <w:rsid w:val="005B4FFC"/>
    <w:rsid w:val="005B5C7D"/>
    <w:rsid w:val="005B5EF3"/>
    <w:rsid w:val="005B72CB"/>
    <w:rsid w:val="005B73A1"/>
    <w:rsid w:val="005B769C"/>
    <w:rsid w:val="005B7ACA"/>
    <w:rsid w:val="005B7F3D"/>
    <w:rsid w:val="005C1E4B"/>
    <w:rsid w:val="005C3126"/>
    <w:rsid w:val="005C37D0"/>
    <w:rsid w:val="005C38C1"/>
    <w:rsid w:val="005C3E0E"/>
    <w:rsid w:val="005C4A2F"/>
    <w:rsid w:val="005C4A6B"/>
    <w:rsid w:val="005C5122"/>
    <w:rsid w:val="005C5182"/>
    <w:rsid w:val="005C53F3"/>
    <w:rsid w:val="005C54C8"/>
    <w:rsid w:val="005C755F"/>
    <w:rsid w:val="005C793E"/>
    <w:rsid w:val="005C79EC"/>
    <w:rsid w:val="005D2005"/>
    <w:rsid w:val="005D255E"/>
    <w:rsid w:val="005D2897"/>
    <w:rsid w:val="005D4AB4"/>
    <w:rsid w:val="005D6556"/>
    <w:rsid w:val="005D6A26"/>
    <w:rsid w:val="005D78A0"/>
    <w:rsid w:val="005D7D6E"/>
    <w:rsid w:val="005E00E8"/>
    <w:rsid w:val="005E0B2E"/>
    <w:rsid w:val="005E0E18"/>
    <w:rsid w:val="005E1354"/>
    <w:rsid w:val="005E1D59"/>
    <w:rsid w:val="005E277A"/>
    <w:rsid w:val="005E37AF"/>
    <w:rsid w:val="005E44D7"/>
    <w:rsid w:val="005E4F05"/>
    <w:rsid w:val="005E524A"/>
    <w:rsid w:val="005E6A76"/>
    <w:rsid w:val="005F029C"/>
    <w:rsid w:val="005F0442"/>
    <w:rsid w:val="005F1087"/>
    <w:rsid w:val="005F1148"/>
    <w:rsid w:val="005F140A"/>
    <w:rsid w:val="005F24B5"/>
    <w:rsid w:val="005F449E"/>
    <w:rsid w:val="005F47A1"/>
    <w:rsid w:val="005F5071"/>
    <w:rsid w:val="005F5435"/>
    <w:rsid w:val="005F560C"/>
    <w:rsid w:val="005F5BDF"/>
    <w:rsid w:val="005F7817"/>
    <w:rsid w:val="00600EBE"/>
    <w:rsid w:val="0060124F"/>
    <w:rsid w:val="00601D8F"/>
    <w:rsid w:val="006027F3"/>
    <w:rsid w:val="006034E7"/>
    <w:rsid w:val="00603E64"/>
    <w:rsid w:val="00603EC1"/>
    <w:rsid w:val="00605011"/>
    <w:rsid w:val="00605F30"/>
    <w:rsid w:val="00607089"/>
    <w:rsid w:val="00607DF5"/>
    <w:rsid w:val="00607F23"/>
    <w:rsid w:val="00611095"/>
    <w:rsid w:val="006111E7"/>
    <w:rsid w:val="0061251A"/>
    <w:rsid w:val="00613D0A"/>
    <w:rsid w:val="006145F1"/>
    <w:rsid w:val="006154B8"/>
    <w:rsid w:val="00616B2E"/>
    <w:rsid w:val="0062033F"/>
    <w:rsid w:val="0062078A"/>
    <w:rsid w:val="00620FE5"/>
    <w:rsid w:val="00623F91"/>
    <w:rsid w:val="0062424E"/>
    <w:rsid w:val="0062554C"/>
    <w:rsid w:val="0062612F"/>
    <w:rsid w:val="00627CD6"/>
    <w:rsid w:val="006302DC"/>
    <w:rsid w:val="00630A68"/>
    <w:rsid w:val="00630AFE"/>
    <w:rsid w:val="00632EEF"/>
    <w:rsid w:val="0063367A"/>
    <w:rsid w:val="0063488D"/>
    <w:rsid w:val="00636E98"/>
    <w:rsid w:val="00637F0E"/>
    <w:rsid w:val="00640437"/>
    <w:rsid w:val="00640A90"/>
    <w:rsid w:val="00641EBB"/>
    <w:rsid w:val="00642A01"/>
    <w:rsid w:val="00642FD8"/>
    <w:rsid w:val="006437A4"/>
    <w:rsid w:val="00643CAC"/>
    <w:rsid w:val="0064410F"/>
    <w:rsid w:val="00644159"/>
    <w:rsid w:val="006444C4"/>
    <w:rsid w:val="006453A0"/>
    <w:rsid w:val="00645E30"/>
    <w:rsid w:val="006465C8"/>
    <w:rsid w:val="00647C39"/>
    <w:rsid w:val="00651304"/>
    <w:rsid w:val="00651D61"/>
    <w:rsid w:val="0065253A"/>
    <w:rsid w:val="00653FCF"/>
    <w:rsid w:val="006543CD"/>
    <w:rsid w:val="006609E7"/>
    <w:rsid w:val="00662BE3"/>
    <w:rsid w:val="00662D6A"/>
    <w:rsid w:val="0066335F"/>
    <w:rsid w:val="00663646"/>
    <w:rsid w:val="006645F1"/>
    <w:rsid w:val="00664897"/>
    <w:rsid w:val="00664FFB"/>
    <w:rsid w:val="006656FD"/>
    <w:rsid w:val="006703CD"/>
    <w:rsid w:val="00670470"/>
    <w:rsid w:val="006709AD"/>
    <w:rsid w:val="00672DF2"/>
    <w:rsid w:val="006730F4"/>
    <w:rsid w:val="00673119"/>
    <w:rsid w:val="00673A8E"/>
    <w:rsid w:val="00674222"/>
    <w:rsid w:val="00674939"/>
    <w:rsid w:val="00674A7C"/>
    <w:rsid w:val="00677401"/>
    <w:rsid w:val="00677AD8"/>
    <w:rsid w:val="0068005B"/>
    <w:rsid w:val="00680FF0"/>
    <w:rsid w:val="00682018"/>
    <w:rsid w:val="006834BE"/>
    <w:rsid w:val="00685E35"/>
    <w:rsid w:val="0068652F"/>
    <w:rsid w:val="006866D5"/>
    <w:rsid w:val="00686F08"/>
    <w:rsid w:val="006901C1"/>
    <w:rsid w:val="006905D9"/>
    <w:rsid w:val="006915A7"/>
    <w:rsid w:val="00691FD7"/>
    <w:rsid w:val="006928B2"/>
    <w:rsid w:val="00693326"/>
    <w:rsid w:val="00694A15"/>
    <w:rsid w:val="006964FC"/>
    <w:rsid w:val="00697CA0"/>
    <w:rsid w:val="006A12B1"/>
    <w:rsid w:val="006A1AD0"/>
    <w:rsid w:val="006A32D5"/>
    <w:rsid w:val="006A5046"/>
    <w:rsid w:val="006A7C62"/>
    <w:rsid w:val="006B0875"/>
    <w:rsid w:val="006B09C1"/>
    <w:rsid w:val="006B2624"/>
    <w:rsid w:val="006B4B34"/>
    <w:rsid w:val="006B4BF2"/>
    <w:rsid w:val="006B550B"/>
    <w:rsid w:val="006B5558"/>
    <w:rsid w:val="006B6098"/>
    <w:rsid w:val="006B7C18"/>
    <w:rsid w:val="006C07A8"/>
    <w:rsid w:val="006C1C27"/>
    <w:rsid w:val="006C2145"/>
    <w:rsid w:val="006C27B9"/>
    <w:rsid w:val="006C33A3"/>
    <w:rsid w:val="006C4BBD"/>
    <w:rsid w:val="006C55E8"/>
    <w:rsid w:val="006C60BF"/>
    <w:rsid w:val="006C610C"/>
    <w:rsid w:val="006C684E"/>
    <w:rsid w:val="006C6BD1"/>
    <w:rsid w:val="006C737D"/>
    <w:rsid w:val="006C75F2"/>
    <w:rsid w:val="006C768E"/>
    <w:rsid w:val="006C7B5B"/>
    <w:rsid w:val="006C7D4E"/>
    <w:rsid w:val="006D1064"/>
    <w:rsid w:val="006D18ED"/>
    <w:rsid w:val="006D24A5"/>
    <w:rsid w:val="006D633F"/>
    <w:rsid w:val="006E01D7"/>
    <w:rsid w:val="006E062D"/>
    <w:rsid w:val="006E0A07"/>
    <w:rsid w:val="006E42C1"/>
    <w:rsid w:val="006E46D8"/>
    <w:rsid w:val="006E505D"/>
    <w:rsid w:val="006E51FE"/>
    <w:rsid w:val="006E6AB4"/>
    <w:rsid w:val="006E7D37"/>
    <w:rsid w:val="006F03F8"/>
    <w:rsid w:val="006F173D"/>
    <w:rsid w:val="006F194B"/>
    <w:rsid w:val="006F1A0A"/>
    <w:rsid w:val="006F3373"/>
    <w:rsid w:val="006F37AC"/>
    <w:rsid w:val="006F3F2F"/>
    <w:rsid w:val="006F4001"/>
    <w:rsid w:val="006F7560"/>
    <w:rsid w:val="006F7ACD"/>
    <w:rsid w:val="006F7D84"/>
    <w:rsid w:val="007003F9"/>
    <w:rsid w:val="00701C2D"/>
    <w:rsid w:val="00702869"/>
    <w:rsid w:val="007029D1"/>
    <w:rsid w:val="00702BAE"/>
    <w:rsid w:val="0070459B"/>
    <w:rsid w:val="00704D29"/>
    <w:rsid w:val="00705AAD"/>
    <w:rsid w:val="00705EED"/>
    <w:rsid w:val="00706A6E"/>
    <w:rsid w:val="00706F84"/>
    <w:rsid w:val="007077F3"/>
    <w:rsid w:val="00707BE4"/>
    <w:rsid w:val="00707C3B"/>
    <w:rsid w:val="0071080C"/>
    <w:rsid w:val="007112CD"/>
    <w:rsid w:val="00711A00"/>
    <w:rsid w:val="0071299A"/>
    <w:rsid w:val="00712FAF"/>
    <w:rsid w:val="0071302E"/>
    <w:rsid w:val="007132F2"/>
    <w:rsid w:val="00713BF0"/>
    <w:rsid w:val="00713D0E"/>
    <w:rsid w:val="00714377"/>
    <w:rsid w:val="00715A92"/>
    <w:rsid w:val="00715AC8"/>
    <w:rsid w:val="00717132"/>
    <w:rsid w:val="00717965"/>
    <w:rsid w:val="00720110"/>
    <w:rsid w:val="0072136D"/>
    <w:rsid w:val="00722AAE"/>
    <w:rsid w:val="00722D17"/>
    <w:rsid w:val="007243A5"/>
    <w:rsid w:val="007243CC"/>
    <w:rsid w:val="0072469D"/>
    <w:rsid w:val="00724845"/>
    <w:rsid w:val="00724879"/>
    <w:rsid w:val="0072611F"/>
    <w:rsid w:val="00726567"/>
    <w:rsid w:val="00727FF3"/>
    <w:rsid w:val="00730149"/>
    <w:rsid w:val="00730350"/>
    <w:rsid w:val="007304CB"/>
    <w:rsid w:val="00730C4D"/>
    <w:rsid w:val="007311AD"/>
    <w:rsid w:val="007326B0"/>
    <w:rsid w:val="00732F5C"/>
    <w:rsid w:val="00733284"/>
    <w:rsid w:val="00734E03"/>
    <w:rsid w:val="00736AB0"/>
    <w:rsid w:val="0073714F"/>
    <w:rsid w:val="007371D0"/>
    <w:rsid w:val="00737C0B"/>
    <w:rsid w:val="00741AE1"/>
    <w:rsid w:val="00743121"/>
    <w:rsid w:val="00743326"/>
    <w:rsid w:val="0074387F"/>
    <w:rsid w:val="00744705"/>
    <w:rsid w:val="0074477B"/>
    <w:rsid w:val="007448DB"/>
    <w:rsid w:val="00744DB7"/>
    <w:rsid w:val="00744E8B"/>
    <w:rsid w:val="007458CD"/>
    <w:rsid w:val="007461B1"/>
    <w:rsid w:val="00746469"/>
    <w:rsid w:val="00747C09"/>
    <w:rsid w:val="00747E8E"/>
    <w:rsid w:val="007525F1"/>
    <w:rsid w:val="00752BF8"/>
    <w:rsid w:val="0075389E"/>
    <w:rsid w:val="0075635F"/>
    <w:rsid w:val="00756E6D"/>
    <w:rsid w:val="00757FC0"/>
    <w:rsid w:val="00760AAE"/>
    <w:rsid w:val="00762699"/>
    <w:rsid w:val="00764312"/>
    <w:rsid w:val="00765289"/>
    <w:rsid w:val="007657AF"/>
    <w:rsid w:val="00765B81"/>
    <w:rsid w:val="0076610B"/>
    <w:rsid w:val="007661AA"/>
    <w:rsid w:val="0076728C"/>
    <w:rsid w:val="00767B22"/>
    <w:rsid w:val="00770C2F"/>
    <w:rsid w:val="007716B8"/>
    <w:rsid w:val="00771AE7"/>
    <w:rsid w:val="00772BD9"/>
    <w:rsid w:val="00772FF3"/>
    <w:rsid w:val="00774420"/>
    <w:rsid w:val="00774E18"/>
    <w:rsid w:val="0077660B"/>
    <w:rsid w:val="007766A8"/>
    <w:rsid w:val="00780361"/>
    <w:rsid w:val="00780591"/>
    <w:rsid w:val="007805FE"/>
    <w:rsid w:val="0078235F"/>
    <w:rsid w:val="00782CD5"/>
    <w:rsid w:val="00782D24"/>
    <w:rsid w:val="007832CF"/>
    <w:rsid w:val="00784CC1"/>
    <w:rsid w:val="0078747F"/>
    <w:rsid w:val="00787795"/>
    <w:rsid w:val="00790DD7"/>
    <w:rsid w:val="00791D87"/>
    <w:rsid w:val="0079238C"/>
    <w:rsid w:val="007936D6"/>
    <w:rsid w:val="007943CE"/>
    <w:rsid w:val="007955A0"/>
    <w:rsid w:val="00796B90"/>
    <w:rsid w:val="007974A9"/>
    <w:rsid w:val="007A0015"/>
    <w:rsid w:val="007A0597"/>
    <w:rsid w:val="007A36F7"/>
    <w:rsid w:val="007A3A40"/>
    <w:rsid w:val="007A5B2C"/>
    <w:rsid w:val="007A7994"/>
    <w:rsid w:val="007B03A6"/>
    <w:rsid w:val="007B080E"/>
    <w:rsid w:val="007B2004"/>
    <w:rsid w:val="007B2520"/>
    <w:rsid w:val="007B4615"/>
    <w:rsid w:val="007B5531"/>
    <w:rsid w:val="007B61A6"/>
    <w:rsid w:val="007B624D"/>
    <w:rsid w:val="007B674E"/>
    <w:rsid w:val="007C0997"/>
    <w:rsid w:val="007C1704"/>
    <w:rsid w:val="007C17B4"/>
    <w:rsid w:val="007C247C"/>
    <w:rsid w:val="007C2BFD"/>
    <w:rsid w:val="007C5B14"/>
    <w:rsid w:val="007C5E7A"/>
    <w:rsid w:val="007C65D8"/>
    <w:rsid w:val="007C6B74"/>
    <w:rsid w:val="007C6BF7"/>
    <w:rsid w:val="007D180F"/>
    <w:rsid w:val="007D3EE9"/>
    <w:rsid w:val="007D400B"/>
    <w:rsid w:val="007D46F5"/>
    <w:rsid w:val="007D636D"/>
    <w:rsid w:val="007D6B58"/>
    <w:rsid w:val="007D6C40"/>
    <w:rsid w:val="007D7194"/>
    <w:rsid w:val="007D75FF"/>
    <w:rsid w:val="007E0F7F"/>
    <w:rsid w:val="007E1A23"/>
    <w:rsid w:val="007E2098"/>
    <w:rsid w:val="007E20BA"/>
    <w:rsid w:val="007E2E3C"/>
    <w:rsid w:val="007E40E7"/>
    <w:rsid w:val="007E431D"/>
    <w:rsid w:val="007E43D4"/>
    <w:rsid w:val="007E50B2"/>
    <w:rsid w:val="007E5BA5"/>
    <w:rsid w:val="007E76C1"/>
    <w:rsid w:val="007E772A"/>
    <w:rsid w:val="007E77B5"/>
    <w:rsid w:val="007E7F3F"/>
    <w:rsid w:val="007E7FD5"/>
    <w:rsid w:val="007F0523"/>
    <w:rsid w:val="007F0CCE"/>
    <w:rsid w:val="007F0FFE"/>
    <w:rsid w:val="007F39E1"/>
    <w:rsid w:val="007F68FD"/>
    <w:rsid w:val="007F6969"/>
    <w:rsid w:val="007F69A2"/>
    <w:rsid w:val="00801485"/>
    <w:rsid w:val="00801A60"/>
    <w:rsid w:val="00801B15"/>
    <w:rsid w:val="00803AB2"/>
    <w:rsid w:val="00804490"/>
    <w:rsid w:val="00804B53"/>
    <w:rsid w:val="00806C98"/>
    <w:rsid w:val="00807673"/>
    <w:rsid w:val="008105B1"/>
    <w:rsid w:val="00810D28"/>
    <w:rsid w:val="00811659"/>
    <w:rsid w:val="00812609"/>
    <w:rsid w:val="008126E9"/>
    <w:rsid w:val="008151C8"/>
    <w:rsid w:val="00816883"/>
    <w:rsid w:val="008169E7"/>
    <w:rsid w:val="00816A55"/>
    <w:rsid w:val="00816C1C"/>
    <w:rsid w:val="008204AF"/>
    <w:rsid w:val="008211BC"/>
    <w:rsid w:val="008214E3"/>
    <w:rsid w:val="00822648"/>
    <w:rsid w:val="00822BE1"/>
    <w:rsid w:val="008234D9"/>
    <w:rsid w:val="00823B87"/>
    <w:rsid w:val="00823E38"/>
    <w:rsid w:val="00823FFD"/>
    <w:rsid w:val="008242A7"/>
    <w:rsid w:val="008250F4"/>
    <w:rsid w:val="00826661"/>
    <w:rsid w:val="008267CB"/>
    <w:rsid w:val="008269E2"/>
    <w:rsid w:val="00827021"/>
    <w:rsid w:val="00827940"/>
    <w:rsid w:val="008309AD"/>
    <w:rsid w:val="00833409"/>
    <w:rsid w:val="00833C51"/>
    <w:rsid w:val="00835BAC"/>
    <w:rsid w:val="00836374"/>
    <w:rsid w:val="00837082"/>
    <w:rsid w:val="008376D3"/>
    <w:rsid w:val="00837C79"/>
    <w:rsid w:val="008404B9"/>
    <w:rsid w:val="00840D8E"/>
    <w:rsid w:val="00841190"/>
    <w:rsid w:val="008414B5"/>
    <w:rsid w:val="00841A87"/>
    <w:rsid w:val="008428A5"/>
    <w:rsid w:val="00842FE5"/>
    <w:rsid w:val="0084355C"/>
    <w:rsid w:val="008453E1"/>
    <w:rsid w:val="00846F9C"/>
    <w:rsid w:val="00851E0C"/>
    <w:rsid w:val="00852121"/>
    <w:rsid w:val="008524FD"/>
    <w:rsid w:val="00852801"/>
    <w:rsid w:val="0085383B"/>
    <w:rsid w:val="0085396E"/>
    <w:rsid w:val="00854712"/>
    <w:rsid w:val="00854C7E"/>
    <w:rsid w:val="008551F8"/>
    <w:rsid w:val="00860976"/>
    <w:rsid w:val="0086101E"/>
    <w:rsid w:val="008613C6"/>
    <w:rsid w:val="00861863"/>
    <w:rsid w:val="0086349C"/>
    <w:rsid w:val="0086541B"/>
    <w:rsid w:val="00865602"/>
    <w:rsid w:val="008679CC"/>
    <w:rsid w:val="00867C9A"/>
    <w:rsid w:val="00867ED1"/>
    <w:rsid w:val="00870D05"/>
    <w:rsid w:val="00871C05"/>
    <w:rsid w:val="00871E8C"/>
    <w:rsid w:val="008727DE"/>
    <w:rsid w:val="00874024"/>
    <w:rsid w:val="008742AF"/>
    <w:rsid w:val="008762AB"/>
    <w:rsid w:val="0087760B"/>
    <w:rsid w:val="00877B85"/>
    <w:rsid w:val="00877D1D"/>
    <w:rsid w:val="00877F8F"/>
    <w:rsid w:val="0088070C"/>
    <w:rsid w:val="00881229"/>
    <w:rsid w:val="00881594"/>
    <w:rsid w:val="00882A4C"/>
    <w:rsid w:val="00884B56"/>
    <w:rsid w:val="008857DF"/>
    <w:rsid w:val="0088584B"/>
    <w:rsid w:val="00885BB1"/>
    <w:rsid w:val="00885BE6"/>
    <w:rsid w:val="00885FB0"/>
    <w:rsid w:val="00886C58"/>
    <w:rsid w:val="00886EBE"/>
    <w:rsid w:val="008876EC"/>
    <w:rsid w:val="00887F73"/>
    <w:rsid w:val="00894504"/>
    <w:rsid w:val="008958EA"/>
    <w:rsid w:val="0089614C"/>
    <w:rsid w:val="00896839"/>
    <w:rsid w:val="00897855"/>
    <w:rsid w:val="008A090F"/>
    <w:rsid w:val="008A0AEE"/>
    <w:rsid w:val="008A304F"/>
    <w:rsid w:val="008A51EF"/>
    <w:rsid w:val="008A5E93"/>
    <w:rsid w:val="008B02FB"/>
    <w:rsid w:val="008B0534"/>
    <w:rsid w:val="008B1170"/>
    <w:rsid w:val="008B2D42"/>
    <w:rsid w:val="008B37E9"/>
    <w:rsid w:val="008B3FD1"/>
    <w:rsid w:val="008B410C"/>
    <w:rsid w:val="008B46B2"/>
    <w:rsid w:val="008B56F9"/>
    <w:rsid w:val="008B5AAE"/>
    <w:rsid w:val="008B6613"/>
    <w:rsid w:val="008B7FF0"/>
    <w:rsid w:val="008C2577"/>
    <w:rsid w:val="008C2F5C"/>
    <w:rsid w:val="008C42CF"/>
    <w:rsid w:val="008C50FC"/>
    <w:rsid w:val="008C5BC8"/>
    <w:rsid w:val="008C63C7"/>
    <w:rsid w:val="008C6E07"/>
    <w:rsid w:val="008C7399"/>
    <w:rsid w:val="008C7906"/>
    <w:rsid w:val="008D047F"/>
    <w:rsid w:val="008D0F1E"/>
    <w:rsid w:val="008D1417"/>
    <w:rsid w:val="008D1444"/>
    <w:rsid w:val="008D1CD1"/>
    <w:rsid w:val="008D1F32"/>
    <w:rsid w:val="008D336A"/>
    <w:rsid w:val="008D363A"/>
    <w:rsid w:val="008D3ACE"/>
    <w:rsid w:val="008D3C5E"/>
    <w:rsid w:val="008D4FB9"/>
    <w:rsid w:val="008D64E1"/>
    <w:rsid w:val="008D77E2"/>
    <w:rsid w:val="008D7C1D"/>
    <w:rsid w:val="008E07F0"/>
    <w:rsid w:val="008E0E86"/>
    <w:rsid w:val="008E1DB7"/>
    <w:rsid w:val="008E241F"/>
    <w:rsid w:val="008E2557"/>
    <w:rsid w:val="008E3844"/>
    <w:rsid w:val="008E39CA"/>
    <w:rsid w:val="008E7393"/>
    <w:rsid w:val="008F077B"/>
    <w:rsid w:val="008F07DD"/>
    <w:rsid w:val="008F122B"/>
    <w:rsid w:val="008F1729"/>
    <w:rsid w:val="008F28B0"/>
    <w:rsid w:val="008F3413"/>
    <w:rsid w:val="008F5223"/>
    <w:rsid w:val="008F59A4"/>
    <w:rsid w:val="008F679F"/>
    <w:rsid w:val="008F6D39"/>
    <w:rsid w:val="008F7FA5"/>
    <w:rsid w:val="00900C8F"/>
    <w:rsid w:val="00900CC2"/>
    <w:rsid w:val="009022F9"/>
    <w:rsid w:val="009024F9"/>
    <w:rsid w:val="009025D0"/>
    <w:rsid w:val="009032DC"/>
    <w:rsid w:val="00903611"/>
    <w:rsid w:val="0090483B"/>
    <w:rsid w:val="00905184"/>
    <w:rsid w:val="009061B6"/>
    <w:rsid w:val="00906719"/>
    <w:rsid w:val="0090685F"/>
    <w:rsid w:val="00906CA5"/>
    <w:rsid w:val="00910249"/>
    <w:rsid w:val="00911DC4"/>
    <w:rsid w:val="0091275E"/>
    <w:rsid w:val="00912848"/>
    <w:rsid w:val="00914883"/>
    <w:rsid w:val="00917C12"/>
    <w:rsid w:val="00917CB5"/>
    <w:rsid w:val="00921E40"/>
    <w:rsid w:val="00923D5B"/>
    <w:rsid w:val="009241BA"/>
    <w:rsid w:val="00924E0C"/>
    <w:rsid w:val="00925556"/>
    <w:rsid w:val="00926888"/>
    <w:rsid w:val="00926F58"/>
    <w:rsid w:val="0093160D"/>
    <w:rsid w:val="00932522"/>
    <w:rsid w:val="00933800"/>
    <w:rsid w:val="00933D48"/>
    <w:rsid w:val="009344DE"/>
    <w:rsid w:val="0093477D"/>
    <w:rsid w:val="0093574B"/>
    <w:rsid w:val="0093599D"/>
    <w:rsid w:val="00935C4A"/>
    <w:rsid w:val="00935EEA"/>
    <w:rsid w:val="00937593"/>
    <w:rsid w:val="00937F58"/>
    <w:rsid w:val="00940BFF"/>
    <w:rsid w:val="0094159C"/>
    <w:rsid w:val="00941885"/>
    <w:rsid w:val="00941F5C"/>
    <w:rsid w:val="00943497"/>
    <w:rsid w:val="009435E8"/>
    <w:rsid w:val="00943BC2"/>
    <w:rsid w:val="0094438D"/>
    <w:rsid w:val="00944F64"/>
    <w:rsid w:val="00946062"/>
    <w:rsid w:val="00946138"/>
    <w:rsid w:val="009509CB"/>
    <w:rsid w:val="00950C32"/>
    <w:rsid w:val="009521B7"/>
    <w:rsid w:val="009530FF"/>
    <w:rsid w:val="009534C7"/>
    <w:rsid w:val="009552D2"/>
    <w:rsid w:val="00955EAC"/>
    <w:rsid w:val="00955EF4"/>
    <w:rsid w:val="00956188"/>
    <w:rsid w:val="009563EB"/>
    <w:rsid w:val="009570A5"/>
    <w:rsid w:val="00957829"/>
    <w:rsid w:val="00957A9A"/>
    <w:rsid w:val="00960A43"/>
    <w:rsid w:val="00960B25"/>
    <w:rsid w:val="0096117C"/>
    <w:rsid w:val="00961EB1"/>
    <w:rsid w:val="00963049"/>
    <w:rsid w:val="009633CB"/>
    <w:rsid w:val="009637BB"/>
    <w:rsid w:val="00965AC0"/>
    <w:rsid w:val="0096695A"/>
    <w:rsid w:val="009705C0"/>
    <w:rsid w:val="00970C58"/>
    <w:rsid w:val="00970EAC"/>
    <w:rsid w:val="00971535"/>
    <w:rsid w:val="00971B70"/>
    <w:rsid w:val="009727D9"/>
    <w:rsid w:val="00972F4A"/>
    <w:rsid w:val="009733DA"/>
    <w:rsid w:val="009737E4"/>
    <w:rsid w:val="00975ACB"/>
    <w:rsid w:val="00975F5A"/>
    <w:rsid w:val="009760A4"/>
    <w:rsid w:val="00976704"/>
    <w:rsid w:val="00976F26"/>
    <w:rsid w:val="0097774B"/>
    <w:rsid w:val="009777AC"/>
    <w:rsid w:val="0098138B"/>
    <w:rsid w:val="00981704"/>
    <w:rsid w:val="00981F2E"/>
    <w:rsid w:val="00982BF3"/>
    <w:rsid w:val="0098335D"/>
    <w:rsid w:val="009837B1"/>
    <w:rsid w:val="00985EA7"/>
    <w:rsid w:val="00986229"/>
    <w:rsid w:val="00986C78"/>
    <w:rsid w:val="0098718C"/>
    <w:rsid w:val="0099149E"/>
    <w:rsid w:val="0099219D"/>
    <w:rsid w:val="0099228C"/>
    <w:rsid w:val="009940E5"/>
    <w:rsid w:val="00995222"/>
    <w:rsid w:val="009958F9"/>
    <w:rsid w:val="00995D47"/>
    <w:rsid w:val="00996CC6"/>
    <w:rsid w:val="009972A7"/>
    <w:rsid w:val="009972D7"/>
    <w:rsid w:val="009A127E"/>
    <w:rsid w:val="009A14A9"/>
    <w:rsid w:val="009A179B"/>
    <w:rsid w:val="009A17C0"/>
    <w:rsid w:val="009A180E"/>
    <w:rsid w:val="009A2632"/>
    <w:rsid w:val="009A2EC0"/>
    <w:rsid w:val="009A2EEA"/>
    <w:rsid w:val="009A3116"/>
    <w:rsid w:val="009A3395"/>
    <w:rsid w:val="009A344A"/>
    <w:rsid w:val="009A49CF"/>
    <w:rsid w:val="009A603C"/>
    <w:rsid w:val="009A64AC"/>
    <w:rsid w:val="009B1597"/>
    <w:rsid w:val="009B2029"/>
    <w:rsid w:val="009B2F22"/>
    <w:rsid w:val="009B3BBC"/>
    <w:rsid w:val="009B3CA8"/>
    <w:rsid w:val="009B4E11"/>
    <w:rsid w:val="009B73F2"/>
    <w:rsid w:val="009C0A88"/>
    <w:rsid w:val="009C1859"/>
    <w:rsid w:val="009C1899"/>
    <w:rsid w:val="009C1AE2"/>
    <w:rsid w:val="009C2033"/>
    <w:rsid w:val="009C20B6"/>
    <w:rsid w:val="009C22A0"/>
    <w:rsid w:val="009C5ECD"/>
    <w:rsid w:val="009C6145"/>
    <w:rsid w:val="009C71EC"/>
    <w:rsid w:val="009C74CC"/>
    <w:rsid w:val="009D2AD6"/>
    <w:rsid w:val="009D4580"/>
    <w:rsid w:val="009D5930"/>
    <w:rsid w:val="009D5A50"/>
    <w:rsid w:val="009E2584"/>
    <w:rsid w:val="009E2B27"/>
    <w:rsid w:val="009E327A"/>
    <w:rsid w:val="009E37D4"/>
    <w:rsid w:val="009E3C2E"/>
    <w:rsid w:val="009E51B0"/>
    <w:rsid w:val="009E5212"/>
    <w:rsid w:val="009E5A93"/>
    <w:rsid w:val="009F08F0"/>
    <w:rsid w:val="009F2A33"/>
    <w:rsid w:val="009F3327"/>
    <w:rsid w:val="009F3EC4"/>
    <w:rsid w:val="009F4B5E"/>
    <w:rsid w:val="009F4FC4"/>
    <w:rsid w:val="009F526A"/>
    <w:rsid w:val="009F6DED"/>
    <w:rsid w:val="009F731B"/>
    <w:rsid w:val="009F7E71"/>
    <w:rsid w:val="00A00EC8"/>
    <w:rsid w:val="00A043E6"/>
    <w:rsid w:val="00A04FDA"/>
    <w:rsid w:val="00A05BA0"/>
    <w:rsid w:val="00A06029"/>
    <w:rsid w:val="00A06970"/>
    <w:rsid w:val="00A06A87"/>
    <w:rsid w:val="00A06E7A"/>
    <w:rsid w:val="00A10F3D"/>
    <w:rsid w:val="00A11682"/>
    <w:rsid w:val="00A11E92"/>
    <w:rsid w:val="00A12611"/>
    <w:rsid w:val="00A12628"/>
    <w:rsid w:val="00A129B9"/>
    <w:rsid w:val="00A1500D"/>
    <w:rsid w:val="00A176F4"/>
    <w:rsid w:val="00A2084C"/>
    <w:rsid w:val="00A20949"/>
    <w:rsid w:val="00A21766"/>
    <w:rsid w:val="00A230F1"/>
    <w:rsid w:val="00A23283"/>
    <w:rsid w:val="00A2431A"/>
    <w:rsid w:val="00A246C1"/>
    <w:rsid w:val="00A24E4E"/>
    <w:rsid w:val="00A251B3"/>
    <w:rsid w:val="00A27130"/>
    <w:rsid w:val="00A27472"/>
    <w:rsid w:val="00A27948"/>
    <w:rsid w:val="00A27D02"/>
    <w:rsid w:val="00A3017C"/>
    <w:rsid w:val="00A3029A"/>
    <w:rsid w:val="00A31C62"/>
    <w:rsid w:val="00A32367"/>
    <w:rsid w:val="00A33710"/>
    <w:rsid w:val="00A3374A"/>
    <w:rsid w:val="00A33849"/>
    <w:rsid w:val="00A355E4"/>
    <w:rsid w:val="00A367D8"/>
    <w:rsid w:val="00A3719D"/>
    <w:rsid w:val="00A4070C"/>
    <w:rsid w:val="00A4081F"/>
    <w:rsid w:val="00A42998"/>
    <w:rsid w:val="00A42D22"/>
    <w:rsid w:val="00A42DB8"/>
    <w:rsid w:val="00A45C9E"/>
    <w:rsid w:val="00A468C3"/>
    <w:rsid w:val="00A46AED"/>
    <w:rsid w:val="00A472E1"/>
    <w:rsid w:val="00A476D4"/>
    <w:rsid w:val="00A47ADA"/>
    <w:rsid w:val="00A51D8A"/>
    <w:rsid w:val="00A5204C"/>
    <w:rsid w:val="00A5284D"/>
    <w:rsid w:val="00A5371C"/>
    <w:rsid w:val="00A53C33"/>
    <w:rsid w:val="00A546E2"/>
    <w:rsid w:val="00A54DDC"/>
    <w:rsid w:val="00A566F2"/>
    <w:rsid w:val="00A56DA9"/>
    <w:rsid w:val="00A570A7"/>
    <w:rsid w:val="00A60D1C"/>
    <w:rsid w:val="00A61119"/>
    <w:rsid w:val="00A611C9"/>
    <w:rsid w:val="00A61FB5"/>
    <w:rsid w:val="00A62126"/>
    <w:rsid w:val="00A62560"/>
    <w:rsid w:val="00A62AFE"/>
    <w:rsid w:val="00A6359A"/>
    <w:rsid w:val="00A63770"/>
    <w:rsid w:val="00A64250"/>
    <w:rsid w:val="00A65A90"/>
    <w:rsid w:val="00A667A5"/>
    <w:rsid w:val="00A70FDC"/>
    <w:rsid w:val="00A7157A"/>
    <w:rsid w:val="00A719D9"/>
    <w:rsid w:val="00A7204A"/>
    <w:rsid w:val="00A725F1"/>
    <w:rsid w:val="00A738C3"/>
    <w:rsid w:val="00A73CD6"/>
    <w:rsid w:val="00A74AF7"/>
    <w:rsid w:val="00A7582C"/>
    <w:rsid w:val="00A76860"/>
    <w:rsid w:val="00A7798F"/>
    <w:rsid w:val="00A77D00"/>
    <w:rsid w:val="00A801FC"/>
    <w:rsid w:val="00A80806"/>
    <w:rsid w:val="00A80FB0"/>
    <w:rsid w:val="00A81066"/>
    <w:rsid w:val="00A81879"/>
    <w:rsid w:val="00A8190C"/>
    <w:rsid w:val="00A81E1B"/>
    <w:rsid w:val="00A82322"/>
    <w:rsid w:val="00A8415E"/>
    <w:rsid w:val="00A86EBC"/>
    <w:rsid w:val="00A87620"/>
    <w:rsid w:val="00A87F30"/>
    <w:rsid w:val="00A90729"/>
    <w:rsid w:val="00A90868"/>
    <w:rsid w:val="00A90B48"/>
    <w:rsid w:val="00A912E4"/>
    <w:rsid w:val="00A93107"/>
    <w:rsid w:val="00A9393F"/>
    <w:rsid w:val="00A94044"/>
    <w:rsid w:val="00A94D2E"/>
    <w:rsid w:val="00A94D3C"/>
    <w:rsid w:val="00A9632A"/>
    <w:rsid w:val="00A96928"/>
    <w:rsid w:val="00A96BC2"/>
    <w:rsid w:val="00AA0445"/>
    <w:rsid w:val="00AA0BD8"/>
    <w:rsid w:val="00AA2729"/>
    <w:rsid w:val="00AA459D"/>
    <w:rsid w:val="00AA4F33"/>
    <w:rsid w:val="00AA6D83"/>
    <w:rsid w:val="00AA6FBA"/>
    <w:rsid w:val="00AA7C2F"/>
    <w:rsid w:val="00AA7CF5"/>
    <w:rsid w:val="00AB03BF"/>
    <w:rsid w:val="00AB21A0"/>
    <w:rsid w:val="00AB2930"/>
    <w:rsid w:val="00AB368F"/>
    <w:rsid w:val="00AB4CBF"/>
    <w:rsid w:val="00AB4D8B"/>
    <w:rsid w:val="00AB5BA5"/>
    <w:rsid w:val="00AB629D"/>
    <w:rsid w:val="00AB715D"/>
    <w:rsid w:val="00AB716F"/>
    <w:rsid w:val="00AC0A2C"/>
    <w:rsid w:val="00AC10B7"/>
    <w:rsid w:val="00AC1192"/>
    <w:rsid w:val="00AC18DA"/>
    <w:rsid w:val="00AC1C0B"/>
    <w:rsid w:val="00AC254D"/>
    <w:rsid w:val="00AC7474"/>
    <w:rsid w:val="00AC7E23"/>
    <w:rsid w:val="00AD0816"/>
    <w:rsid w:val="00AD0897"/>
    <w:rsid w:val="00AD0A8F"/>
    <w:rsid w:val="00AD2358"/>
    <w:rsid w:val="00AD27B6"/>
    <w:rsid w:val="00AD358D"/>
    <w:rsid w:val="00AD3AA1"/>
    <w:rsid w:val="00AD4116"/>
    <w:rsid w:val="00AD51F6"/>
    <w:rsid w:val="00AD5255"/>
    <w:rsid w:val="00AD63B4"/>
    <w:rsid w:val="00AD75F8"/>
    <w:rsid w:val="00AE00A1"/>
    <w:rsid w:val="00AE036A"/>
    <w:rsid w:val="00AE1EF3"/>
    <w:rsid w:val="00AE2A0E"/>
    <w:rsid w:val="00AE3580"/>
    <w:rsid w:val="00AE3BC4"/>
    <w:rsid w:val="00AE3D63"/>
    <w:rsid w:val="00AE4646"/>
    <w:rsid w:val="00AE4669"/>
    <w:rsid w:val="00AE476E"/>
    <w:rsid w:val="00AE6D26"/>
    <w:rsid w:val="00AE6D2A"/>
    <w:rsid w:val="00AF0C50"/>
    <w:rsid w:val="00AF273A"/>
    <w:rsid w:val="00AF2FFC"/>
    <w:rsid w:val="00AF3CEA"/>
    <w:rsid w:val="00AF4C12"/>
    <w:rsid w:val="00AF6980"/>
    <w:rsid w:val="00AF73C7"/>
    <w:rsid w:val="00B00135"/>
    <w:rsid w:val="00B0050E"/>
    <w:rsid w:val="00B0413A"/>
    <w:rsid w:val="00B043B7"/>
    <w:rsid w:val="00B0459E"/>
    <w:rsid w:val="00B04E56"/>
    <w:rsid w:val="00B05EE8"/>
    <w:rsid w:val="00B061F2"/>
    <w:rsid w:val="00B069C7"/>
    <w:rsid w:val="00B071F0"/>
    <w:rsid w:val="00B07364"/>
    <w:rsid w:val="00B10367"/>
    <w:rsid w:val="00B11230"/>
    <w:rsid w:val="00B1286D"/>
    <w:rsid w:val="00B13832"/>
    <w:rsid w:val="00B1412E"/>
    <w:rsid w:val="00B14BCD"/>
    <w:rsid w:val="00B15CAA"/>
    <w:rsid w:val="00B15EB0"/>
    <w:rsid w:val="00B17060"/>
    <w:rsid w:val="00B17119"/>
    <w:rsid w:val="00B17FC0"/>
    <w:rsid w:val="00B20E44"/>
    <w:rsid w:val="00B21633"/>
    <w:rsid w:val="00B21D2E"/>
    <w:rsid w:val="00B23E4D"/>
    <w:rsid w:val="00B24493"/>
    <w:rsid w:val="00B25AD0"/>
    <w:rsid w:val="00B25CFF"/>
    <w:rsid w:val="00B25DC4"/>
    <w:rsid w:val="00B27E9F"/>
    <w:rsid w:val="00B30FBF"/>
    <w:rsid w:val="00B31597"/>
    <w:rsid w:val="00B31C1E"/>
    <w:rsid w:val="00B31F4F"/>
    <w:rsid w:val="00B34072"/>
    <w:rsid w:val="00B34740"/>
    <w:rsid w:val="00B35840"/>
    <w:rsid w:val="00B358BA"/>
    <w:rsid w:val="00B359A0"/>
    <w:rsid w:val="00B35E55"/>
    <w:rsid w:val="00B36618"/>
    <w:rsid w:val="00B37A5A"/>
    <w:rsid w:val="00B37EB5"/>
    <w:rsid w:val="00B40206"/>
    <w:rsid w:val="00B42B38"/>
    <w:rsid w:val="00B430C9"/>
    <w:rsid w:val="00B441FC"/>
    <w:rsid w:val="00B444C9"/>
    <w:rsid w:val="00B44981"/>
    <w:rsid w:val="00B47639"/>
    <w:rsid w:val="00B47CB2"/>
    <w:rsid w:val="00B47CCB"/>
    <w:rsid w:val="00B510F3"/>
    <w:rsid w:val="00B51645"/>
    <w:rsid w:val="00B51937"/>
    <w:rsid w:val="00B53BA5"/>
    <w:rsid w:val="00B5433E"/>
    <w:rsid w:val="00B54C2D"/>
    <w:rsid w:val="00B55437"/>
    <w:rsid w:val="00B568E4"/>
    <w:rsid w:val="00B56954"/>
    <w:rsid w:val="00B56C4A"/>
    <w:rsid w:val="00B60438"/>
    <w:rsid w:val="00B61115"/>
    <w:rsid w:val="00B61431"/>
    <w:rsid w:val="00B6239B"/>
    <w:rsid w:val="00B624D9"/>
    <w:rsid w:val="00B638A3"/>
    <w:rsid w:val="00B63C6D"/>
    <w:rsid w:val="00B64A42"/>
    <w:rsid w:val="00B64D40"/>
    <w:rsid w:val="00B666B1"/>
    <w:rsid w:val="00B67977"/>
    <w:rsid w:val="00B67E1C"/>
    <w:rsid w:val="00B70FAC"/>
    <w:rsid w:val="00B71209"/>
    <w:rsid w:val="00B73CCF"/>
    <w:rsid w:val="00B744BE"/>
    <w:rsid w:val="00B75ED3"/>
    <w:rsid w:val="00B765EE"/>
    <w:rsid w:val="00B76D21"/>
    <w:rsid w:val="00B778D0"/>
    <w:rsid w:val="00B80F38"/>
    <w:rsid w:val="00B82645"/>
    <w:rsid w:val="00B83892"/>
    <w:rsid w:val="00B83F35"/>
    <w:rsid w:val="00B84C79"/>
    <w:rsid w:val="00B8513F"/>
    <w:rsid w:val="00B85561"/>
    <w:rsid w:val="00B8570E"/>
    <w:rsid w:val="00B859EF"/>
    <w:rsid w:val="00B8655F"/>
    <w:rsid w:val="00B86662"/>
    <w:rsid w:val="00B875E0"/>
    <w:rsid w:val="00B91754"/>
    <w:rsid w:val="00B92757"/>
    <w:rsid w:val="00B92F55"/>
    <w:rsid w:val="00B953AB"/>
    <w:rsid w:val="00B96618"/>
    <w:rsid w:val="00B96D2B"/>
    <w:rsid w:val="00B96E4F"/>
    <w:rsid w:val="00B970D8"/>
    <w:rsid w:val="00B97C89"/>
    <w:rsid w:val="00BA1F1F"/>
    <w:rsid w:val="00BA2E77"/>
    <w:rsid w:val="00BA3768"/>
    <w:rsid w:val="00BA5037"/>
    <w:rsid w:val="00BA62E6"/>
    <w:rsid w:val="00BA78EA"/>
    <w:rsid w:val="00BA7E45"/>
    <w:rsid w:val="00BB078B"/>
    <w:rsid w:val="00BB2261"/>
    <w:rsid w:val="00BB3944"/>
    <w:rsid w:val="00BB3FE8"/>
    <w:rsid w:val="00BB49D0"/>
    <w:rsid w:val="00BB4DF8"/>
    <w:rsid w:val="00BB5106"/>
    <w:rsid w:val="00BC1671"/>
    <w:rsid w:val="00BC1818"/>
    <w:rsid w:val="00BC18BF"/>
    <w:rsid w:val="00BC2A98"/>
    <w:rsid w:val="00BC30D5"/>
    <w:rsid w:val="00BC7099"/>
    <w:rsid w:val="00BC7658"/>
    <w:rsid w:val="00BC78DB"/>
    <w:rsid w:val="00BC7D3E"/>
    <w:rsid w:val="00BC7EA4"/>
    <w:rsid w:val="00BD094F"/>
    <w:rsid w:val="00BD0F05"/>
    <w:rsid w:val="00BD31F7"/>
    <w:rsid w:val="00BD38CC"/>
    <w:rsid w:val="00BD4D30"/>
    <w:rsid w:val="00BD5CF7"/>
    <w:rsid w:val="00BD6A94"/>
    <w:rsid w:val="00BE129D"/>
    <w:rsid w:val="00BE2B62"/>
    <w:rsid w:val="00BE2C06"/>
    <w:rsid w:val="00BE3C27"/>
    <w:rsid w:val="00BE500A"/>
    <w:rsid w:val="00BE5D35"/>
    <w:rsid w:val="00BE7525"/>
    <w:rsid w:val="00BE7593"/>
    <w:rsid w:val="00BE7818"/>
    <w:rsid w:val="00BF0D3A"/>
    <w:rsid w:val="00BF1236"/>
    <w:rsid w:val="00BF18FA"/>
    <w:rsid w:val="00BF1B77"/>
    <w:rsid w:val="00BF258A"/>
    <w:rsid w:val="00BF3913"/>
    <w:rsid w:val="00BF408A"/>
    <w:rsid w:val="00BF4CAD"/>
    <w:rsid w:val="00BF5B59"/>
    <w:rsid w:val="00BF5E5D"/>
    <w:rsid w:val="00BF65D8"/>
    <w:rsid w:val="00BF6BCD"/>
    <w:rsid w:val="00BF7166"/>
    <w:rsid w:val="00C00FC6"/>
    <w:rsid w:val="00C010BA"/>
    <w:rsid w:val="00C02255"/>
    <w:rsid w:val="00C02275"/>
    <w:rsid w:val="00C02885"/>
    <w:rsid w:val="00C0480A"/>
    <w:rsid w:val="00C0576F"/>
    <w:rsid w:val="00C06238"/>
    <w:rsid w:val="00C066F0"/>
    <w:rsid w:val="00C10365"/>
    <w:rsid w:val="00C11827"/>
    <w:rsid w:val="00C11ECB"/>
    <w:rsid w:val="00C12181"/>
    <w:rsid w:val="00C14B91"/>
    <w:rsid w:val="00C14E7C"/>
    <w:rsid w:val="00C158C5"/>
    <w:rsid w:val="00C16361"/>
    <w:rsid w:val="00C17E7C"/>
    <w:rsid w:val="00C20E69"/>
    <w:rsid w:val="00C214B6"/>
    <w:rsid w:val="00C218F4"/>
    <w:rsid w:val="00C22097"/>
    <w:rsid w:val="00C220B6"/>
    <w:rsid w:val="00C22E4A"/>
    <w:rsid w:val="00C232A4"/>
    <w:rsid w:val="00C23405"/>
    <w:rsid w:val="00C23BDA"/>
    <w:rsid w:val="00C259DF"/>
    <w:rsid w:val="00C25DA1"/>
    <w:rsid w:val="00C25E30"/>
    <w:rsid w:val="00C27F78"/>
    <w:rsid w:val="00C30A66"/>
    <w:rsid w:val="00C3115A"/>
    <w:rsid w:val="00C31475"/>
    <w:rsid w:val="00C315B1"/>
    <w:rsid w:val="00C32AF6"/>
    <w:rsid w:val="00C32DA7"/>
    <w:rsid w:val="00C339BD"/>
    <w:rsid w:val="00C34595"/>
    <w:rsid w:val="00C3473E"/>
    <w:rsid w:val="00C36E2E"/>
    <w:rsid w:val="00C372A9"/>
    <w:rsid w:val="00C37778"/>
    <w:rsid w:val="00C37F0E"/>
    <w:rsid w:val="00C413CB"/>
    <w:rsid w:val="00C432CB"/>
    <w:rsid w:val="00C434A7"/>
    <w:rsid w:val="00C43536"/>
    <w:rsid w:val="00C43871"/>
    <w:rsid w:val="00C44141"/>
    <w:rsid w:val="00C4581A"/>
    <w:rsid w:val="00C505B7"/>
    <w:rsid w:val="00C517BD"/>
    <w:rsid w:val="00C51A49"/>
    <w:rsid w:val="00C52969"/>
    <w:rsid w:val="00C54057"/>
    <w:rsid w:val="00C54330"/>
    <w:rsid w:val="00C544B7"/>
    <w:rsid w:val="00C54C58"/>
    <w:rsid w:val="00C55717"/>
    <w:rsid w:val="00C55788"/>
    <w:rsid w:val="00C56D2B"/>
    <w:rsid w:val="00C56D57"/>
    <w:rsid w:val="00C606F1"/>
    <w:rsid w:val="00C6071C"/>
    <w:rsid w:val="00C61559"/>
    <w:rsid w:val="00C631B4"/>
    <w:rsid w:val="00C63543"/>
    <w:rsid w:val="00C6367E"/>
    <w:rsid w:val="00C63C0F"/>
    <w:rsid w:val="00C643EA"/>
    <w:rsid w:val="00C64C18"/>
    <w:rsid w:val="00C65764"/>
    <w:rsid w:val="00C65E1B"/>
    <w:rsid w:val="00C66478"/>
    <w:rsid w:val="00C6670D"/>
    <w:rsid w:val="00C67719"/>
    <w:rsid w:val="00C67E3B"/>
    <w:rsid w:val="00C67F31"/>
    <w:rsid w:val="00C708EA"/>
    <w:rsid w:val="00C70CD0"/>
    <w:rsid w:val="00C71015"/>
    <w:rsid w:val="00C71D8F"/>
    <w:rsid w:val="00C72090"/>
    <w:rsid w:val="00C72AF5"/>
    <w:rsid w:val="00C7384C"/>
    <w:rsid w:val="00C739BE"/>
    <w:rsid w:val="00C7595F"/>
    <w:rsid w:val="00C76716"/>
    <w:rsid w:val="00C80317"/>
    <w:rsid w:val="00C80609"/>
    <w:rsid w:val="00C80652"/>
    <w:rsid w:val="00C81646"/>
    <w:rsid w:val="00C8173C"/>
    <w:rsid w:val="00C81794"/>
    <w:rsid w:val="00C84D9C"/>
    <w:rsid w:val="00C91133"/>
    <w:rsid w:val="00C911C0"/>
    <w:rsid w:val="00C93664"/>
    <w:rsid w:val="00C93C93"/>
    <w:rsid w:val="00C9553F"/>
    <w:rsid w:val="00C95BD6"/>
    <w:rsid w:val="00C97EEB"/>
    <w:rsid w:val="00CA0579"/>
    <w:rsid w:val="00CA1C43"/>
    <w:rsid w:val="00CA2683"/>
    <w:rsid w:val="00CA2C06"/>
    <w:rsid w:val="00CA30C7"/>
    <w:rsid w:val="00CA38EC"/>
    <w:rsid w:val="00CA4C04"/>
    <w:rsid w:val="00CA4D49"/>
    <w:rsid w:val="00CA70C6"/>
    <w:rsid w:val="00CA7621"/>
    <w:rsid w:val="00CA77D2"/>
    <w:rsid w:val="00CB044E"/>
    <w:rsid w:val="00CB0E88"/>
    <w:rsid w:val="00CB1484"/>
    <w:rsid w:val="00CB24F8"/>
    <w:rsid w:val="00CB2934"/>
    <w:rsid w:val="00CB7446"/>
    <w:rsid w:val="00CB7E36"/>
    <w:rsid w:val="00CC0334"/>
    <w:rsid w:val="00CC20C7"/>
    <w:rsid w:val="00CC2EE5"/>
    <w:rsid w:val="00CC3FC6"/>
    <w:rsid w:val="00CC443B"/>
    <w:rsid w:val="00CC470E"/>
    <w:rsid w:val="00CC4FB9"/>
    <w:rsid w:val="00CC6F20"/>
    <w:rsid w:val="00CC76BB"/>
    <w:rsid w:val="00CD0F37"/>
    <w:rsid w:val="00CD0FB7"/>
    <w:rsid w:val="00CD10E3"/>
    <w:rsid w:val="00CD243C"/>
    <w:rsid w:val="00CD24CE"/>
    <w:rsid w:val="00CD3630"/>
    <w:rsid w:val="00CD3723"/>
    <w:rsid w:val="00CD6BAF"/>
    <w:rsid w:val="00CE037C"/>
    <w:rsid w:val="00CE07E1"/>
    <w:rsid w:val="00CE0A11"/>
    <w:rsid w:val="00CE0B23"/>
    <w:rsid w:val="00CE1A94"/>
    <w:rsid w:val="00CE3906"/>
    <w:rsid w:val="00CE3C3A"/>
    <w:rsid w:val="00CE4A30"/>
    <w:rsid w:val="00CE4F2F"/>
    <w:rsid w:val="00CE628E"/>
    <w:rsid w:val="00CE64A3"/>
    <w:rsid w:val="00CE651D"/>
    <w:rsid w:val="00CE6BE8"/>
    <w:rsid w:val="00CE6EC2"/>
    <w:rsid w:val="00CE792C"/>
    <w:rsid w:val="00CF004B"/>
    <w:rsid w:val="00CF0889"/>
    <w:rsid w:val="00CF0D70"/>
    <w:rsid w:val="00CF0E60"/>
    <w:rsid w:val="00CF1D59"/>
    <w:rsid w:val="00CF2337"/>
    <w:rsid w:val="00CF2A91"/>
    <w:rsid w:val="00CF34C4"/>
    <w:rsid w:val="00CF3A86"/>
    <w:rsid w:val="00CF3A89"/>
    <w:rsid w:val="00CF3E5C"/>
    <w:rsid w:val="00CF42EE"/>
    <w:rsid w:val="00CF551F"/>
    <w:rsid w:val="00CF5F9C"/>
    <w:rsid w:val="00CF63CD"/>
    <w:rsid w:val="00CF767C"/>
    <w:rsid w:val="00CF7F02"/>
    <w:rsid w:val="00D0068A"/>
    <w:rsid w:val="00D00E77"/>
    <w:rsid w:val="00D02A4C"/>
    <w:rsid w:val="00D05D00"/>
    <w:rsid w:val="00D066DC"/>
    <w:rsid w:val="00D06FDD"/>
    <w:rsid w:val="00D074E0"/>
    <w:rsid w:val="00D07938"/>
    <w:rsid w:val="00D079CB"/>
    <w:rsid w:val="00D10F20"/>
    <w:rsid w:val="00D11B86"/>
    <w:rsid w:val="00D12677"/>
    <w:rsid w:val="00D12C06"/>
    <w:rsid w:val="00D15543"/>
    <w:rsid w:val="00D159DA"/>
    <w:rsid w:val="00D16456"/>
    <w:rsid w:val="00D16B13"/>
    <w:rsid w:val="00D16F87"/>
    <w:rsid w:val="00D17183"/>
    <w:rsid w:val="00D1743C"/>
    <w:rsid w:val="00D21611"/>
    <w:rsid w:val="00D23180"/>
    <w:rsid w:val="00D236CF"/>
    <w:rsid w:val="00D23D88"/>
    <w:rsid w:val="00D240DF"/>
    <w:rsid w:val="00D252FA"/>
    <w:rsid w:val="00D26D58"/>
    <w:rsid w:val="00D26E17"/>
    <w:rsid w:val="00D27627"/>
    <w:rsid w:val="00D27BF1"/>
    <w:rsid w:val="00D30144"/>
    <w:rsid w:val="00D30B8A"/>
    <w:rsid w:val="00D30CA4"/>
    <w:rsid w:val="00D313BF"/>
    <w:rsid w:val="00D313E2"/>
    <w:rsid w:val="00D3287B"/>
    <w:rsid w:val="00D32938"/>
    <w:rsid w:val="00D3302A"/>
    <w:rsid w:val="00D338EC"/>
    <w:rsid w:val="00D3636E"/>
    <w:rsid w:val="00D3780F"/>
    <w:rsid w:val="00D37D70"/>
    <w:rsid w:val="00D41CE1"/>
    <w:rsid w:val="00D41EB5"/>
    <w:rsid w:val="00D427AF"/>
    <w:rsid w:val="00D42861"/>
    <w:rsid w:val="00D44A8A"/>
    <w:rsid w:val="00D45F58"/>
    <w:rsid w:val="00D50FDB"/>
    <w:rsid w:val="00D5181B"/>
    <w:rsid w:val="00D52402"/>
    <w:rsid w:val="00D53ADF"/>
    <w:rsid w:val="00D5477F"/>
    <w:rsid w:val="00D54872"/>
    <w:rsid w:val="00D553BE"/>
    <w:rsid w:val="00D554C2"/>
    <w:rsid w:val="00D55978"/>
    <w:rsid w:val="00D55D29"/>
    <w:rsid w:val="00D5610D"/>
    <w:rsid w:val="00D56E6D"/>
    <w:rsid w:val="00D5787D"/>
    <w:rsid w:val="00D57FA7"/>
    <w:rsid w:val="00D6057C"/>
    <w:rsid w:val="00D623EE"/>
    <w:rsid w:val="00D62EE9"/>
    <w:rsid w:val="00D638BE"/>
    <w:rsid w:val="00D648FD"/>
    <w:rsid w:val="00D66121"/>
    <w:rsid w:val="00D70265"/>
    <w:rsid w:val="00D7050C"/>
    <w:rsid w:val="00D70919"/>
    <w:rsid w:val="00D712E0"/>
    <w:rsid w:val="00D7132D"/>
    <w:rsid w:val="00D7153D"/>
    <w:rsid w:val="00D719AF"/>
    <w:rsid w:val="00D728C9"/>
    <w:rsid w:val="00D7302D"/>
    <w:rsid w:val="00D73E36"/>
    <w:rsid w:val="00D7518F"/>
    <w:rsid w:val="00D761C1"/>
    <w:rsid w:val="00D76308"/>
    <w:rsid w:val="00D76F57"/>
    <w:rsid w:val="00D7795B"/>
    <w:rsid w:val="00D77C04"/>
    <w:rsid w:val="00D818DD"/>
    <w:rsid w:val="00D81BCD"/>
    <w:rsid w:val="00D81C73"/>
    <w:rsid w:val="00D81CB8"/>
    <w:rsid w:val="00D8245D"/>
    <w:rsid w:val="00D82F7D"/>
    <w:rsid w:val="00D830A7"/>
    <w:rsid w:val="00D8352B"/>
    <w:rsid w:val="00D83DBB"/>
    <w:rsid w:val="00D84E07"/>
    <w:rsid w:val="00D8632B"/>
    <w:rsid w:val="00D9128D"/>
    <w:rsid w:val="00D91AF5"/>
    <w:rsid w:val="00D91C36"/>
    <w:rsid w:val="00D92E96"/>
    <w:rsid w:val="00D935FD"/>
    <w:rsid w:val="00D93736"/>
    <w:rsid w:val="00D93E00"/>
    <w:rsid w:val="00D94098"/>
    <w:rsid w:val="00D94684"/>
    <w:rsid w:val="00D95BCC"/>
    <w:rsid w:val="00DA1545"/>
    <w:rsid w:val="00DA2684"/>
    <w:rsid w:val="00DA4B0C"/>
    <w:rsid w:val="00DA5BB8"/>
    <w:rsid w:val="00DA636C"/>
    <w:rsid w:val="00DA703D"/>
    <w:rsid w:val="00DA7610"/>
    <w:rsid w:val="00DA7735"/>
    <w:rsid w:val="00DB3116"/>
    <w:rsid w:val="00DB365B"/>
    <w:rsid w:val="00DB3674"/>
    <w:rsid w:val="00DB3FEB"/>
    <w:rsid w:val="00DB55AD"/>
    <w:rsid w:val="00DB6133"/>
    <w:rsid w:val="00DB6E7C"/>
    <w:rsid w:val="00DC0CD0"/>
    <w:rsid w:val="00DC1072"/>
    <w:rsid w:val="00DC1154"/>
    <w:rsid w:val="00DC1453"/>
    <w:rsid w:val="00DC2CC9"/>
    <w:rsid w:val="00DC3EC2"/>
    <w:rsid w:val="00DC6681"/>
    <w:rsid w:val="00DC6C31"/>
    <w:rsid w:val="00DC7132"/>
    <w:rsid w:val="00DC7AE7"/>
    <w:rsid w:val="00DC7CF1"/>
    <w:rsid w:val="00DC7D5B"/>
    <w:rsid w:val="00DD1470"/>
    <w:rsid w:val="00DD1D6C"/>
    <w:rsid w:val="00DD3DDD"/>
    <w:rsid w:val="00DD7885"/>
    <w:rsid w:val="00DE07DC"/>
    <w:rsid w:val="00DE0FCC"/>
    <w:rsid w:val="00DE1333"/>
    <w:rsid w:val="00DE17E6"/>
    <w:rsid w:val="00DE1BB5"/>
    <w:rsid w:val="00DE2B54"/>
    <w:rsid w:val="00DE3681"/>
    <w:rsid w:val="00DE3742"/>
    <w:rsid w:val="00DE4189"/>
    <w:rsid w:val="00DE46F3"/>
    <w:rsid w:val="00DE5292"/>
    <w:rsid w:val="00DE5758"/>
    <w:rsid w:val="00DE5BF4"/>
    <w:rsid w:val="00DE69A1"/>
    <w:rsid w:val="00DE7744"/>
    <w:rsid w:val="00DE79B9"/>
    <w:rsid w:val="00DF07A9"/>
    <w:rsid w:val="00DF0919"/>
    <w:rsid w:val="00DF0D58"/>
    <w:rsid w:val="00DF1FE9"/>
    <w:rsid w:val="00DF2B69"/>
    <w:rsid w:val="00DF42EC"/>
    <w:rsid w:val="00DF499E"/>
    <w:rsid w:val="00DF642C"/>
    <w:rsid w:val="00DF708D"/>
    <w:rsid w:val="00DF783A"/>
    <w:rsid w:val="00E03909"/>
    <w:rsid w:val="00E03CB7"/>
    <w:rsid w:val="00E042E4"/>
    <w:rsid w:val="00E0448D"/>
    <w:rsid w:val="00E058FE"/>
    <w:rsid w:val="00E06AFF"/>
    <w:rsid w:val="00E0781A"/>
    <w:rsid w:val="00E07ECC"/>
    <w:rsid w:val="00E1050F"/>
    <w:rsid w:val="00E10B78"/>
    <w:rsid w:val="00E11755"/>
    <w:rsid w:val="00E11EEF"/>
    <w:rsid w:val="00E1383C"/>
    <w:rsid w:val="00E13ABB"/>
    <w:rsid w:val="00E1468F"/>
    <w:rsid w:val="00E14AB5"/>
    <w:rsid w:val="00E14C42"/>
    <w:rsid w:val="00E1565D"/>
    <w:rsid w:val="00E1621B"/>
    <w:rsid w:val="00E16D8C"/>
    <w:rsid w:val="00E205CD"/>
    <w:rsid w:val="00E205F5"/>
    <w:rsid w:val="00E20A89"/>
    <w:rsid w:val="00E20B8D"/>
    <w:rsid w:val="00E2148B"/>
    <w:rsid w:val="00E22F91"/>
    <w:rsid w:val="00E234F1"/>
    <w:rsid w:val="00E235EA"/>
    <w:rsid w:val="00E2447A"/>
    <w:rsid w:val="00E24E62"/>
    <w:rsid w:val="00E25AEE"/>
    <w:rsid w:val="00E26E04"/>
    <w:rsid w:val="00E27CE2"/>
    <w:rsid w:val="00E30721"/>
    <w:rsid w:val="00E322D9"/>
    <w:rsid w:val="00E32534"/>
    <w:rsid w:val="00E332B4"/>
    <w:rsid w:val="00E33D2A"/>
    <w:rsid w:val="00E35B24"/>
    <w:rsid w:val="00E37649"/>
    <w:rsid w:val="00E406A2"/>
    <w:rsid w:val="00E4073A"/>
    <w:rsid w:val="00E40A9A"/>
    <w:rsid w:val="00E41211"/>
    <w:rsid w:val="00E46568"/>
    <w:rsid w:val="00E46C4B"/>
    <w:rsid w:val="00E479CB"/>
    <w:rsid w:val="00E5027A"/>
    <w:rsid w:val="00E50660"/>
    <w:rsid w:val="00E52BB2"/>
    <w:rsid w:val="00E54C4D"/>
    <w:rsid w:val="00E56776"/>
    <w:rsid w:val="00E5723C"/>
    <w:rsid w:val="00E61094"/>
    <w:rsid w:val="00E611C4"/>
    <w:rsid w:val="00E61538"/>
    <w:rsid w:val="00E62586"/>
    <w:rsid w:val="00E639F8"/>
    <w:rsid w:val="00E63C57"/>
    <w:rsid w:val="00E64459"/>
    <w:rsid w:val="00E645D3"/>
    <w:rsid w:val="00E64B08"/>
    <w:rsid w:val="00E64EDE"/>
    <w:rsid w:val="00E65472"/>
    <w:rsid w:val="00E7051C"/>
    <w:rsid w:val="00E70975"/>
    <w:rsid w:val="00E709DC"/>
    <w:rsid w:val="00E70F43"/>
    <w:rsid w:val="00E727B2"/>
    <w:rsid w:val="00E7599B"/>
    <w:rsid w:val="00E7616D"/>
    <w:rsid w:val="00E76B15"/>
    <w:rsid w:val="00E8271A"/>
    <w:rsid w:val="00E82999"/>
    <w:rsid w:val="00E829B6"/>
    <w:rsid w:val="00E82BC1"/>
    <w:rsid w:val="00E83528"/>
    <w:rsid w:val="00E8465E"/>
    <w:rsid w:val="00E84AE2"/>
    <w:rsid w:val="00E84D40"/>
    <w:rsid w:val="00E857DD"/>
    <w:rsid w:val="00E85C81"/>
    <w:rsid w:val="00E87B46"/>
    <w:rsid w:val="00E917DA"/>
    <w:rsid w:val="00E91B43"/>
    <w:rsid w:val="00E91CE7"/>
    <w:rsid w:val="00E934F1"/>
    <w:rsid w:val="00E93EE2"/>
    <w:rsid w:val="00E955A0"/>
    <w:rsid w:val="00E9570A"/>
    <w:rsid w:val="00E960A2"/>
    <w:rsid w:val="00EA010D"/>
    <w:rsid w:val="00EA09EA"/>
    <w:rsid w:val="00EA2148"/>
    <w:rsid w:val="00EA35D2"/>
    <w:rsid w:val="00EA3AC1"/>
    <w:rsid w:val="00EA44F1"/>
    <w:rsid w:val="00EA465A"/>
    <w:rsid w:val="00EA5AA4"/>
    <w:rsid w:val="00EA5D0D"/>
    <w:rsid w:val="00EA617D"/>
    <w:rsid w:val="00EA6D28"/>
    <w:rsid w:val="00EA74A4"/>
    <w:rsid w:val="00EA751B"/>
    <w:rsid w:val="00EB077F"/>
    <w:rsid w:val="00EB1D4B"/>
    <w:rsid w:val="00EB2658"/>
    <w:rsid w:val="00EB2F72"/>
    <w:rsid w:val="00EB3533"/>
    <w:rsid w:val="00EB3CA0"/>
    <w:rsid w:val="00EB64F0"/>
    <w:rsid w:val="00EB6EF6"/>
    <w:rsid w:val="00EB7954"/>
    <w:rsid w:val="00EC0574"/>
    <w:rsid w:val="00EC0B89"/>
    <w:rsid w:val="00EC10DF"/>
    <w:rsid w:val="00EC1653"/>
    <w:rsid w:val="00EC1CC0"/>
    <w:rsid w:val="00EC1E4F"/>
    <w:rsid w:val="00EC5DF8"/>
    <w:rsid w:val="00EC6697"/>
    <w:rsid w:val="00EC6967"/>
    <w:rsid w:val="00ED0770"/>
    <w:rsid w:val="00ED18E3"/>
    <w:rsid w:val="00ED1F54"/>
    <w:rsid w:val="00ED2296"/>
    <w:rsid w:val="00ED3F17"/>
    <w:rsid w:val="00ED5759"/>
    <w:rsid w:val="00EE0EF5"/>
    <w:rsid w:val="00EE12F3"/>
    <w:rsid w:val="00EE15C3"/>
    <w:rsid w:val="00EE193E"/>
    <w:rsid w:val="00EE1A3D"/>
    <w:rsid w:val="00EE1E25"/>
    <w:rsid w:val="00EE305D"/>
    <w:rsid w:val="00EE3728"/>
    <w:rsid w:val="00EE3EA6"/>
    <w:rsid w:val="00EE420C"/>
    <w:rsid w:val="00EE423F"/>
    <w:rsid w:val="00EE45BA"/>
    <w:rsid w:val="00EE4B92"/>
    <w:rsid w:val="00EE6550"/>
    <w:rsid w:val="00EE67D1"/>
    <w:rsid w:val="00EE67EC"/>
    <w:rsid w:val="00EE6C3D"/>
    <w:rsid w:val="00EE713B"/>
    <w:rsid w:val="00EF0CD6"/>
    <w:rsid w:val="00EF1973"/>
    <w:rsid w:val="00EF284A"/>
    <w:rsid w:val="00EF29D1"/>
    <w:rsid w:val="00EF2CB3"/>
    <w:rsid w:val="00EF33BA"/>
    <w:rsid w:val="00EF4003"/>
    <w:rsid w:val="00EF4E51"/>
    <w:rsid w:val="00EF6E1C"/>
    <w:rsid w:val="00EF6E42"/>
    <w:rsid w:val="00EF75E2"/>
    <w:rsid w:val="00EF7783"/>
    <w:rsid w:val="00F00465"/>
    <w:rsid w:val="00F01015"/>
    <w:rsid w:val="00F01182"/>
    <w:rsid w:val="00F01198"/>
    <w:rsid w:val="00F019A9"/>
    <w:rsid w:val="00F01C4E"/>
    <w:rsid w:val="00F020B4"/>
    <w:rsid w:val="00F03DCC"/>
    <w:rsid w:val="00F04310"/>
    <w:rsid w:val="00F05A0B"/>
    <w:rsid w:val="00F067DF"/>
    <w:rsid w:val="00F07F3F"/>
    <w:rsid w:val="00F1085C"/>
    <w:rsid w:val="00F11C09"/>
    <w:rsid w:val="00F121CE"/>
    <w:rsid w:val="00F12DCD"/>
    <w:rsid w:val="00F12E10"/>
    <w:rsid w:val="00F130F1"/>
    <w:rsid w:val="00F1396C"/>
    <w:rsid w:val="00F13B66"/>
    <w:rsid w:val="00F15E3E"/>
    <w:rsid w:val="00F16BC7"/>
    <w:rsid w:val="00F17003"/>
    <w:rsid w:val="00F20BCE"/>
    <w:rsid w:val="00F20F5E"/>
    <w:rsid w:val="00F21789"/>
    <w:rsid w:val="00F21862"/>
    <w:rsid w:val="00F21BF2"/>
    <w:rsid w:val="00F21CA7"/>
    <w:rsid w:val="00F222A9"/>
    <w:rsid w:val="00F225E0"/>
    <w:rsid w:val="00F22C54"/>
    <w:rsid w:val="00F23D5D"/>
    <w:rsid w:val="00F23F20"/>
    <w:rsid w:val="00F240E8"/>
    <w:rsid w:val="00F2473C"/>
    <w:rsid w:val="00F249A9"/>
    <w:rsid w:val="00F25EAB"/>
    <w:rsid w:val="00F2712E"/>
    <w:rsid w:val="00F27FE7"/>
    <w:rsid w:val="00F3148E"/>
    <w:rsid w:val="00F317BC"/>
    <w:rsid w:val="00F3303C"/>
    <w:rsid w:val="00F34448"/>
    <w:rsid w:val="00F34FD6"/>
    <w:rsid w:val="00F355B5"/>
    <w:rsid w:val="00F35B49"/>
    <w:rsid w:val="00F35D94"/>
    <w:rsid w:val="00F35EA8"/>
    <w:rsid w:val="00F366C9"/>
    <w:rsid w:val="00F366F3"/>
    <w:rsid w:val="00F36CD2"/>
    <w:rsid w:val="00F3720A"/>
    <w:rsid w:val="00F37CE1"/>
    <w:rsid w:val="00F412A3"/>
    <w:rsid w:val="00F4135F"/>
    <w:rsid w:val="00F414C4"/>
    <w:rsid w:val="00F42459"/>
    <w:rsid w:val="00F424AE"/>
    <w:rsid w:val="00F42798"/>
    <w:rsid w:val="00F434AB"/>
    <w:rsid w:val="00F43569"/>
    <w:rsid w:val="00F43CE5"/>
    <w:rsid w:val="00F4496B"/>
    <w:rsid w:val="00F44B79"/>
    <w:rsid w:val="00F45445"/>
    <w:rsid w:val="00F458E1"/>
    <w:rsid w:val="00F45C80"/>
    <w:rsid w:val="00F45C8E"/>
    <w:rsid w:val="00F50125"/>
    <w:rsid w:val="00F50573"/>
    <w:rsid w:val="00F51EA2"/>
    <w:rsid w:val="00F52661"/>
    <w:rsid w:val="00F52F0D"/>
    <w:rsid w:val="00F53621"/>
    <w:rsid w:val="00F54D6C"/>
    <w:rsid w:val="00F55863"/>
    <w:rsid w:val="00F5681E"/>
    <w:rsid w:val="00F56D9F"/>
    <w:rsid w:val="00F57005"/>
    <w:rsid w:val="00F576B2"/>
    <w:rsid w:val="00F57AED"/>
    <w:rsid w:val="00F57D53"/>
    <w:rsid w:val="00F60C63"/>
    <w:rsid w:val="00F61690"/>
    <w:rsid w:val="00F62A90"/>
    <w:rsid w:val="00F635DE"/>
    <w:rsid w:val="00F64C69"/>
    <w:rsid w:val="00F65BC7"/>
    <w:rsid w:val="00F671C0"/>
    <w:rsid w:val="00F67C73"/>
    <w:rsid w:val="00F67F1E"/>
    <w:rsid w:val="00F701C9"/>
    <w:rsid w:val="00F71438"/>
    <w:rsid w:val="00F728AB"/>
    <w:rsid w:val="00F73038"/>
    <w:rsid w:val="00F74947"/>
    <w:rsid w:val="00F74DD3"/>
    <w:rsid w:val="00F75BC6"/>
    <w:rsid w:val="00F77E8B"/>
    <w:rsid w:val="00F77EFB"/>
    <w:rsid w:val="00F802A5"/>
    <w:rsid w:val="00F823FD"/>
    <w:rsid w:val="00F825F2"/>
    <w:rsid w:val="00F82CBF"/>
    <w:rsid w:val="00F82E87"/>
    <w:rsid w:val="00F82F20"/>
    <w:rsid w:val="00F83503"/>
    <w:rsid w:val="00F84CC6"/>
    <w:rsid w:val="00F84CD8"/>
    <w:rsid w:val="00F852CE"/>
    <w:rsid w:val="00F8684B"/>
    <w:rsid w:val="00F87097"/>
    <w:rsid w:val="00F875B6"/>
    <w:rsid w:val="00F906FA"/>
    <w:rsid w:val="00F9136A"/>
    <w:rsid w:val="00F921D4"/>
    <w:rsid w:val="00F934CA"/>
    <w:rsid w:val="00F940E8"/>
    <w:rsid w:val="00F95A7A"/>
    <w:rsid w:val="00F95BD8"/>
    <w:rsid w:val="00FA0477"/>
    <w:rsid w:val="00FA08F2"/>
    <w:rsid w:val="00FA0F8F"/>
    <w:rsid w:val="00FA19C2"/>
    <w:rsid w:val="00FA35A4"/>
    <w:rsid w:val="00FA3B50"/>
    <w:rsid w:val="00FA3E0C"/>
    <w:rsid w:val="00FA3E80"/>
    <w:rsid w:val="00FA4123"/>
    <w:rsid w:val="00FA464B"/>
    <w:rsid w:val="00FA4993"/>
    <w:rsid w:val="00FA4B58"/>
    <w:rsid w:val="00FA4F37"/>
    <w:rsid w:val="00FA64AA"/>
    <w:rsid w:val="00FA730B"/>
    <w:rsid w:val="00FA762E"/>
    <w:rsid w:val="00FB018D"/>
    <w:rsid w:val="00FB139A"/>
    <w:rsid w:val="00FB21A9"/>
    <w:rsid w:val="00FB2631"/>
    <w:rsid w:val="00FB2882"/>
    <w:rsid w:val="00FB2987"/>
    <w:rsid w:val="00FB2F04"/>
    <w:rsid w:val="00FB2F47"/>
    <w:rsid w:val="00FB3840"/>
    <w:rsid w:val="00FB3F3F"/>
    <w:rsid w:val="00FB428D"/>
    <w:rsid w:val="00FB464A"/>
    <w:rsid w:val="00FB4BBA"/>
    <w:rsid w:val="00FB4D8B"/>
    <w:rsid w:val="00FB5E4E"/>
    <w:rsid w:val="00FB7929"/>
    <w:rsid w:val="00FB7D45"/>
    <w:rsid w:val="00FC09E9"/>
    <w:rsid w:val="00FC2072"/>
    <w:rsid w:val="00FC2ED3"/>
    <w:rsid w:val="00FC3E45"/>
    <w:rsid w:val="00FC42C7"/>
    <w:rsid w:val="00FC4AA6"/>
    <w:rsid w:val="00FC52B0"/>
    <w:rsid w:val="00FC553A"/>
    <w:rsid w:val="00FC55CA"/>
    <w:rsid w:val="00FC7F02"/>
    <w:rsid w:val="00FD0AC4"/>
    <w:rsid w:val="00FD0E56"/>
    <w:rsid w:val="00FD1345"/>
    <w:rsid w:val="00FD1FA0"/>
    <w:rsid w:val="00FD2CF7"/>
    <w:rsid w:val="00FD5CF6"/>
    <w:rsid w:val="00FD6129"/>
    <w:rsid w:val="00FD64C4"/>
    <w:rsid w:val="00FD7249"/>
    <w:rsid w:val="00FE02E7"/>
    <w:rsid w:val="00FE06FA"/>
    <w:rsid w:val="00FE28D9"/>
    <w:rsid w:val="00FE29D3"/>
    <w:rsid w:val="00FE3E7A"/>
    <w:rsid w:val="00FE63F9"/>
    <w:rsid w:val="00FE7AD3"/>
    <w:rsid w:val="00FE7B51"/>
    <w:rsid w:val="00FE7CC5"/>
    <w:rsid w:val="00FE7D73"/>
    <w:rsid w:val="00FF00F7"/>
    <w:rsid w:val="00FF15DD"/>
    <w:rsid w:val="00FF1B33"/>
    <w:rsid w:val="00FF2684"/>
    <w:rsid w:val="00FF2F82"/>
    <w:rsid w:val="00FF4426"/>
    <w:rsid w:val="00FF4D57"/>
    <w:rsid w:val="00FF61A3"/>
    <w:rsid w:val="00FF63BA"/>
    <w:rsid w:val="00FF77A9"/>
    <w:rsid w:val="01C004FD"/>
    <w:rsid w:val="023C8970"/>
    <w:rsid w:val="02C26068"/>
    <w:rsid w:val="036317F7"/>
    <w:rsid w:val="03920A86"/>
    <w:rsid w:val="0410B85C"/>
    <w:rsid w:val="04138452"/>
    <w:rsid w:val="05DBB9CE"/>
    <w:rsid w:val="077C6EBD"/>
    <w:rsid w:val="0888E4D7"/>
    <w:rsid w:val="09E487F8"/>
    <w:rsid w:val="0ACB65A7"/>
    <w:rsid w:val="0BCACBFD"/>
    <w:rsid w:val="0CBEA270"/>
    <w:rsid w:val="0DA9F6F8"/>
    <w:rsid w:val="0E14BF9D"/>
    <w:rsid w:val="0EFFC1BA"/>
    <w:rsid w:val="0F71C65B"/>
    <w:rsid w:val="117DDCB4"/>
    <w:rsid w:val="12016E81"/>
    <w:rsid w:val="139DFDEF"/>
    <w:rsid w:val="13EFAC6D"/>
    <w:rsid w:val="15B9FAD4"/>
    <w:rsid w:val="15DBBEBA"/>
    <w:rsid w:val="162694E1"/>
    <w:rsid w:val="17C09AE2"/>
    <w:rsid w:val="17E58679"/>
    <w:rsid w:val="199F276E"/>
    <w:rsid w:val="19FDE7F3"/>
    <w:rsid w:val="1A064A5A"/>
    <w:rsid w:val="1CC120CF"/>
    <w:rsid w:val="1F7BB36B"/>
    <w:rsid w:val="2002C211"/>
    <w:rsid w:val="27B63633"/>
    <w:rsid w:val="2A75FAD4"/>
    <w:rsid w:val="2AD8CA7B"/>
    <w:rsid w:val="2AF73623"/>
    <w:rsid w:val="2C326641"/>
    <w:rsid w:val="2DD611F6"/>
    <w:rsid w:val="2F3D0F32"/>
    <w:rsid w:val="30F804DB"/>
    <w:rsid w:val="31E14371"/>
    <w:rsid w:val="33BD24A4"/>
    <w:rsid w:val="33E9A8E2"/>
    <w:rsid w:val="34107C10"/>
    <w:rsid w:val="341E99CD"/>
    <w:rsid w:val="3481577A"/>
    <w:rsid w:val="35DC3316"/>
    <w:rsid w:val="3722D17E"/>
    <w:rsid w:val="38AD2C63"/>
    <w:rsid w:val="38F95622"/>
    <w:rsid w:val="3A08B9D6"/>
    <w:rsid w:val="3BE24811"/>
    <w:rsid w:val="3C25206F"/>
    <w:rsid w:val="3C2E6814"/>
    <w:rsid w:val="3C720C61"/>
    <w:rsid w:val="3D66437B"/>
    <w:rsid w:val="3E4AE1D5"/>
    <w:rsid w:val="3EB1FEE2"/>
    <w:rsid w:val="3F7FC86F"/>
    <w:rsid w:val="4151CC0B"/>
    <w:rsid w:val="4213FDFD"/>
    <w:rsid w:val="42383D48"/>
    <w:rsid w:val="42385E0E"/>
    <w:rsid w:val="435BFA40"/>
    <w:rsid w:val="4380DE59"/>
    <w:rsid w:val="44819ED1"/>
    <w:rsid w:val="44916C8B"/>
    <w:rsid w:val="45C279A9"/>
    <w:rsid w:val="4759C476"/>
    <w:rsid w:val="477F828D"/>
    <w:rsid w:val="478999FD"/>
    <w:rsid w:val="4B7D9353"/>
    <w:rsid w:val="4C0886A7"/>
    <w:rsid w:val="4F050E8F"/>
    <w:rsid w:val="50824E2D"/>
    <w:rsid w:val="524E4407"/>
    <w:rsid w:val="529C85E4"/>
    <w:rsid w:val="534F5137"/>
    <w:rsid w:val="53CCED5D"/>
    <w:rsid w:val="553F4B56"/>
    <w:rsid w:val="55E11C56"/>
    <w:rsid w:val="56453CE0"/>
    <w:rsid w:val="56F98EF4"/>
    <w:rsid w:val="57829339"/>
    <w:rsid w:val="57AE6F2C"/>
    <w:rsid w:val="5888E114"/>
    <w:rsid w:val="5B790718"/>
    <w:rsid w:val="5C571399"/>
    <w:rsid w:val="5CB0A86F"/>
    <w:rsid w:val="5DC79EE4"/>
    <w:rsid w:val="5E127392"/>
    <w:rsid w:val="61A6B9B8"/>
    <w:rsid w:val="640F0A20"/>
    <w:rsid w:val="648191F2"/>
    <w:rsid w:val="64977F81"/>
    <w:rsid w:val="6591904F"/>
    <w:rsid w:val="66751777"/>
    <w:rsid w:val="6753ED00"/>
    <w:rsid w:val="6898CFD9"/>
    <w:rsid w:val="68CA0A33"/>
    <w:rsid w:val="68F6ECB6"/>
    <w:rsid w:val="6941ADB9"/>
    <w:rsid w:val="6A57929D"/>
    <w:rsid w:val="6AA2DA85"/>
    <w:rsid w:val="6B4608E6"/>
    <w:rsid w:val="6B7CA0AB"/>
    <w:rsid w:val="6D3B70D9"/>
    <w:rsid w:val="6D7A809C"/>
    <w:rsid w:val="6E4CED90"/>
    <w:rsid w:val="70B0A588"/>
    <w:rsid w:val="755DBF50"/>
    <w:rsid w:val="75C4A8C2"/>
    <w:rsid w:val="75D36D64"/>
    <w:rsid w:val="76096EB0"/>
    <w:rsid w:val="765BA0F6"/>
    <w:rsid w:val="766414A3"/>
    <w:rsid w:val="767B1228"/>
    <w:rsid w:val="77DA738E"/>
    <w:rsid w:val="7844D669"/>
    <w:rsid w:val="78636280"/>
    <w:rsid w:val="78ABE069"/>
    <w:rsid w:val="7960343F"/>
    <w:rsid w:val="79B9197A"/>
    <w:rsid w:val="7A3633EC"/>
    <w:rsid w:val="7A4C2337"/>
    <w:rsid w:val="7B6A135C"/>
    <w:rsid w:val="7BA5AD8C"/>
    <w:rsid w:val="7BBFC977"/>
    <w:rsid w:val="7D8865B2"/>
    <w:rsid w:val="7F5C23AC"/>
    <w:rsid w:val="7FAA108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AB12"/>
  <w15:chartTrackingRefBased/>
  <w15:docId w15:val="{AF35AC72-2D1F-4A5D-94C5-A1970C39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6415"/>
    <w:pPr>
      <w:jc w:val="both"/>
    </w:pPr>
  </w:style>
  <w:style w:type="paragraph" w:styleId="Nagwek1">
    <w:name w:val="heading 1"/>
    <w:basedOn w:val="Normalny"/>
    <w:next w:val="Normalny"/>
    <w:link w:val="Nagwek1Znak"/>
    <w:uiPriority w:val="9"/>
    <w:qFormat/>
    <w:rsid w:val="0005641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05641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5641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5641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5641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5641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641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641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641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6415"/>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056415"/>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056415"/>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056415"/>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056415"/>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05641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5641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5641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56415"/>
    <w:rPr>
      <w:rFonts w:eastAsiaTheme="majorEastAsia" w:cstheme="majorBidi"/>
      <w:color w:val="272727" w:themeColor="text1" w:themeTint="D8"/>
    </w:rPr>
  </w:style>
  <w:style w:type="paragraph" w:styleId="Tytu">
    <w:name w:val="Title"/>
    <w:basedOn w:val="Normalny"/>
    <w:next w:val="Normalny"/>
    <w:link w:val="TytuZnak"/>
    <w:uiPriority w:val="10"/>
    <w:qFormat/>
    <w:rsid w:val="00056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5641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5641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5641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6415"/>
    <w:pPr>
      <w:spacing w:before="160"/>
      <w:jc w:val="center"/>
    </w:pPr>
    <w:rPr>
      <w:i/>
      <w:iCs/>
      <w:color w:val="404040" w:themeColor="text1" w:themeTint="BF"/>
    </w:rPr>
  </w:style>
  <w:style w:type="character" w:customStyle="1" w:styleId="CytatZnak">
    <w:name w:val="Cytat Znak"/>
    <w:basedOn w:val="Domylnaczcionkaakapitu"/>
    <w:link w:val="Cytat"/>
    <w:uiPriority w:val="29"/>
    <w:rsid w:val="00056415"/>
    <w:rPr>
      <w:i/>
      <w:iCs/>
      <w:color w:val="404040" w:themeColor="text1" w:themeTint="BF"/>
    </w:rPr>
  </w:style>
  <w:style w:type="paragraph" w:styleId="Akapitzlist">
    <w:name w:val="List Paragraph"/>
    <w:basedOn w:val="Normalny"/>
    <w:uiPriority w:val="34"/>
    <w:qFormat/>
    <w:rsid w:val="00056415"/>
    <w:pPr>
      <w:ind w:left="720"/>
      <w:contextualSpacing/>
    </w:pPr>
  </w:style>
  <w:style w:type="character" w:styleId="Wyrnienieintensywne">
    <w:name w:val="Intense Emphasis"/>
    <w:basedOn w:val="Domylnaczcionkaakapitu"/>
    <w:uiPriority w:val="21"/>
    <w:qFormat/>
    <w:rsid w:val="00056415"/>
    <w:rPr>
      <w:i/>
      <w:iCs/>
      <w:color w:val="2E74B5" w:themeColor="accent1" w:themeShade="BF"/>
    </w:rPr>
  </w:style>
  <w:style w:type="paragraph" w:styleId="Cytatintensywny">
    <w:name w:val="Intense Quote"/>
    <w:basedOn w:val="Normalny"/>
    <w:next w:val="Normalny"/>
    <w:link w:val="CytatintensywnyZnak"/>
    <w:uiPriority w:val="30"/>
    <w:qFormat/>
    <w:rsid w:val="0005641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56415"/>
    <w:rPr>
      <w:i/>
      <w:iCs/>
      <w:color w:val="2E74B5" w:themeColor="accent1" w:themeShade="BF"/>
    </w:rPr>
  </w:style>
  <w:style w:type="character" w:styleId="Odwoanieintensywne">
    <w:name w:val="Intense Reference"/>
    <w:basedOn w:val="Domylnaczcionkaakapitu"/>
    <w:uiPriority w:val="32"/>
    <w:qFormat/>
    <w:rsid w:val="00056415"/>
    <w:rPr>
      <w:b/>
      <w:bCs/>
      <w:smallCaps/>
      <w:color w:val="2E74B5" w:themeColor="accent1" w:themeShade="BF"/>
      <w:spacing w:val="5"/>
    </w:rPr>
  </w:style>
  <w:style w:type="table" w:styleId="Tabela-Siatka">
    <w:name w:val="Table Grid"/>
    <w:basedOn w:val="Standardowy"/>
    <w:uiPriority w:val="39"/>
    <w:rsid w:val="00056415"/>
    <w:pPr>
      <w:spacing w:after="0" w:line="240" w:lineRule="auto"/>
    </w:pPr>
    <w:tblPr/>
  </w:style>
  <w:style w:type="paragraph" w:styleId="Nagwekspisutreci">
    <w:name w:val="TOC Heading"/>
    <w:basedOn w:val="Nagwek1"/>
    <w:next w:val="Normalny"/>
    <w:uiPriority w:val="39"/>
    <w:unhideWhenUsed/>
    <w:qFormat/>
    <w:rsid w:val="00F95BD8"/>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DE5292"/>
    <w:pPr>
      <w:tabs>
        <w:tab w:val="left" w:pos="720"/>
        <w:tab w:val="right" w:leader="dot" w:pos="9062"/>
      </w:tabs>
      <w:spacing w:after="100"/>
      <w:ind w:left="567" w:hanging="567"/>
    </w:pPr>
    <w:rPr>
      <w:rFonts w:ascii="Arial" w:hAnsi="Arial" w:cs="Arial"/>
      <w:noProof/>
      <w:sz w:val="24"/>
      <w:szCs w:val="24"/>
    </w:rPr>
  </w:style>
  <w:style w:type="character" w:styleId="Hipercze">
    <w:name w:val="Hyperlink"/>
    <w:basedOn w:val="Domylnaczcionkaakapitu"/>
    <w:uiPriority w:val="99"/>
    <w:unhideWhenUsed/>
    <w:rsid w:val="00F95BD8"/>
    <w:rPr>
      <w:color w:val="0563C1" w:themeColor="hyperlink"/>
      <w:u w:val="single"/>
    </w:rPr>
  </w:style>
  <w:style w:type="paragraph" w:styleId="Tekstprzypisukocowego">
    <w:name w:val="endnote text"/>
    <w:basedOn w:val="Normalny"/>
    <w:link w:val="TekstprzypisukocowegoZnak"/>
    <w:uiPriority w:val="99"/>
    <w:semiHidden/>
    <w:unhideWhenUsed/>
    <w:rsid w:val="001E570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570A"/>
    <w:rPr>
      <w:sz w:val="20"/>
      <w:szCs w:val="20"/>
    </w:rPr>
  </w:style>
  <w:style w:type="character" w:styleId="Odwoanieprzypisukocowego">
    <w:name w:val="endnote reference"/>
    <w:basedOn w:val="Domylnaczcionkaakapitu"/>
    <w:uiPriority w:val="99"/>
    <w:semiHidden/>
    <w:unhideWhenUsed/>
    <w:rsid w:val="001E570A"/>
    <w:rPr>
      <w:vertAlign w:val="superscript"/>
    </w:rPr>
  </w:style>
  <w:style w:type="paragraph" w:styleId="Nagwek">
    <w:name w:val="header"/>
    <w:basedOn w:val="Normalny"/>
    <w:link w:val="NagwekZnak"/>
    <w:uiPriority w:val="99"/>
    <w:unhideWhenUsed/>
    <w:rsid w:val="00B917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1754"/>
  </w:style>
  <w:style w:type="paragraph" w:styleId="Stopka">
    <w:name w:val="footer"/>
    <w:basedOn w:val="Normalny"/>
    <w:link w:val="StopkaZnak"/>
    <w:uiPriority w:val="99"/>
    <w:unhideWhenUsed/>
    <w:rsid w:val="00B917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1754"/>
  </w:style>
  <w:style w:type="character" w:styleId="Odwoaniedokomentarza">
    <w:name w:val="annotation reference"/>
    <w:basedOn w:val="Domylnaczcionkaakapitu"/>
    <w:uiPriority w:val="99"/>
    <w:semiHidden/>
    <w:unhideWhenUsed/>
    <w:rsid w:val="00E917DA"/>
    <w:rPr>
      <w:sz w:val="16"/>
      <w:szCs w:val="16"/>
    </w:rPr>
  </w:style>
  <w:style w:type="paragraph" w:styleId="Tekstkomentarza">
    <w:name w:val="annotation text"/>
    <w:basedOn w:val="Normalny"/>
    <w:link w:val="TekstkomentarzaZnak"/>
    <w:uiPriority w:val="99"/>
    <w:unhideWhenUsed/>
    <w:rsid w:val="00E917DA"/>
    <w:pPr>
      <w:spacing w:line="240" w:lineRule="auto"/>
    </w:pPr>
    <w:rPr>
      <w:sz w:val="20"/>
      <w:szCs w:val="20"/>
    </w:rPr>
  </w:style>
  <w:style w:type="character" w:customStyle="1" w:styleId="TekstkomentarzaZnak">
    <w:name w:val="Tekst komentarza Znak"/>
    <w:basedOn w:val="Domylnaczcionkaakapitu"/>
    <w:link w:val="Tekstkomentarza"/>
    <w:uiPriority w:val="99"/>
    <w:rsid w:val="00E917DA"/>
    <w:rPr>
      <w:sz w:val="20"/>
      <w:szCs w:val="20"/>
    </w:rPr>
  </w:style>
  <w:style w:type="paragraph" w:styleId="Tematkomentarza">
    <w:name w:val="annotation subject"/>
    <w:basedOn w:val="Tekstkomentarza"/>
    <w:next w:val="Tekstkomentarza"/>
    <w:link w:val="TematkomentarzaZnak"/>
    <w:uiPriority w:val="99"/>
    <w:semiHidden/>
    <w:unhideWhenUsed/>
    <w:rsid w:val="00E917DA"/>
    <w:rPr>
      <w:b/>
      <w:bCs/>
    </w:rPr>
  </w:style>
  <w:style w:type="character" w:customStyle="1" w:styleId="TematkomentarzaZnak">
    <w:name w:val="Temat komentarza Znak"/>
    <w:basedOn w:val="TekstkomentarzaZnak"/>
    <w:link w:val="Tematkomentarza"/>
    <w:uiPriority w:val="99"/>
    <w:semiHidden/>
    <w:rsid w:val="00E917DA"/>
    <w:rPr>
      <w:b/>
      <w:bCs/>
      <w:sz w:val="20"/>
      <w:szCs w:val="20"/>
    </w:rPr>
  </w:style>
  <w:style w:type="paragraph" w:styleId="Bezodstpw">
    <w:name w:val="No Spacing"/>
    <w:uiPriority w:val="1"/>
    <w:qFormat/>
    <w:rsid w:val="009C20B6"/>
    <w:pPr>
      <w:spacing w:after="0" w:line="240" w:lineRule="auto"/>
      <w:jc w:val="both"/>
      <w:textAlignment w:val="baseline"/>
    </w:pPr>
    <w:rPr>
      <w:rFonts w:ascii="Arial" w:eastAsiaTheme="majorEastAsia" w:hAnsi="Arial" w:cs="Arial"/>
      <w:kern w:val="0"/>
      <w:szCs w:val="20"/>
      <w:lang w:eastAsia="pl-PL"/>
      <w14:ligatures w14:val="none"/>
    </w:rPr>
  </w:style>
  <w:style w:type="paragraph" w:styleId="Legenda">
    <w:name w:val="caption"/>
    <w:basedOn w:val="Normalny"/>
    <w:next w:val="Normalny"/>
    <w:uiPriority w:val="35"/>
    <w:unhideWhenUsed/>
    <w:rsid w:val="009C20B6"/>
    <w:pPr>
      <w:keepNext/>
      <w:spacing w:before="240" w:after="120"/>
      <w:jc w:val="left"/>
    </w:pPr>
    <w:rPr>
      <w:rFonts w:ascii="Arial" w:eastAsiaTheme="majorEastAsia" w:hAnsi="Arial" w:cs="Arial"/>
      <w:i/>
      <w:iCs/>
      <w:color w:val="44546A" w:themeColor="text2"/>
      <w:kern w:val="0"/>
      <w:sz w:val="18"/>
      <w:szCs w:val="18"/>
      <w:lang w:eastAsia="pl-PL"/>
      <w14:ligatures w14:val="none"/>
    </w:rPr>
  </w:style>
  <w:style w:type="paragraph" w:styleId="Listapunktowana4">
    <w:name w:val="List Bullet 4"/>
    <w:basedOn w:val="Normalny"/>
    <w:uiPriority w:val="99"/>
    <w:unhideWhenUsed/>
    <w:rsid w:val="009C20B6"/>
    <w:pPr>
      <w:numPr>
        <w:numId w:val="7"/>
      </w:numPr>
      <w:tabs>
        <w:tab w:val="clear" w:pos="3664"/>
      </w:tabs>
      <w:spacing w:before="120" w:after="120"/>
      <w:ind w:left="0" w:firstLine="0"/>
      <w:jc w:val="left"/>
    </w:pPr>
    <w:rPr>
      <w:rFonts w:ascii="Arial" w:eastAsiaTheme="majorEastAsia" w:hAnsi="Arial" w:cs="Arial"/>
      <w:kern w:val="0"/>
      <w:sz w:val="20"/>
      <w:szCs w:val="20"/>
      <w:lang w:eastAsia="pl-PL"/>
      <w14:ligatures w14:val="none"/>
    </w:rPr>
  </w:style>
  <w:style w:type="paragraph" w:styleId="Tekstprzypisudolnego">
    <w:name w:val="footnote text"/>
    <w:basedOn w:val="Normalny"/>
    <w:link w:val="TekstprzypisudolnegoZnak"/>
    <w:uiPriority w:val="99"/>
    <w:unhideWhenUsed/>
    <w:rsid w:val="00014DD7"/>
    <w:pPr>
      <w:jc w:val="left"/>
    </w:pPr>
    <w:rPr>
      <w:rFonts w:ascii="Arial" w:eastAsiaTheme="majorEastAsia" w:hAnsi="Arial" w:cs="Arial"/>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014DD7"/>
    <w:rPr>
      <w:rFonts w:ascii="Arial" w:eastAsiaTheme="majorEastAsia" w:hAnsi="Arial" w:cs="Arial"/>
      <w:kern w:val="0"/>
      <w:sz w:val="20"/>
      <w:szCs w:val="20"/>
      <w:lang w:val="en-GB" w:eastAsia="pl-PL"/>
      <w14:ligatures w14:val="none"/>
    </w:rPr>
  </w:style>
  <w:style w:type="character" w:styleId="Odwoanieprzypisudolnego">
    <w:name w:val="footnote reference"/>
    <w:basedOn w:val="Domylnaczcionkaakapitu"/>
    <w:uiPriority w:val="99"/>
    <w:semiHidden/>
    <w:unhideWhenUsed/>
    <w:rsid w:val="00014DD7"/>
    <w:rPr>
      <w:vertAlign w:val="superscript"/>
    </w:rPr>
  </w:style>
  <w:style w:type="paragraph" w:styleId="Tekstpodstawowy">
    <w:name w:val="Body Text"/>
    <w:basedOn w:val="Normalny"/>
    <w:link w:val="TekstpodstawowyZnak"/>
    <w:rsid w:val="00360538"/>
    <w:pPr>
      <w:spacing w:after="120" w:line="240" w:lineRule="auto"/>
      <w:jc w:val="left"/>
    </w:pPr>
    <w:rPr>
      <w:rFonts w:ascii="Times New Roman" w:eastAsia="Times New Roman" w:hAnsi="Times New Roman" w:cs="Times New Roman"/>
      <w:kern w:val="0"/>
      <w:sz w:val="24"/>
      <w:szCs w:val="24"/>
      <w:lang w:eastAsia="en-GB"/>
      <w14:ligatures w14:val="none"/>
    </w:rPr>
  </w:style>
  <w:style w:type="character" w:customStyle="1" w:styleId="TekstpodstawowyZnak">
    <w:name w:val="Tekst podstawowy Znak"/>
    <w:basedOn w:val="Domylnaczcionkaakapitu"/>
    <w:link w:val="Tekstpodstawowy"/>
    <w:rsid w:val="00360538"/>
    <w:rPr>
      <w:rFonts w:ascii="Times New Roman" w:eastAsia="Times New Roman" w:hAnsi="Times New Roman" w:cs="Times New Roman"/>
      <w:kern w:val="0"/>
      <w:sz w:val="24"/>
      <w:szCs w:val="24"/>
      <w:lang w:val="en-GB" w:eastAsia="en-GB"/>
      <w14:ligatures w14:val="none"/>
    </w:rPr>
  </w:style>
  <w:style w:type="character" w:styleId="Nierozpoznanawzmianka">
    <w:name w:val="Unresolved Mention"/>
    <w:basedOn w:val="Domylnaczcionkaakapitu"/>
    <w:uiPriority w:val="99"/>
    <w:semiHidden/>
    <w:unhideWhenUsed/>
    <w:rsid w:val="00471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43549">
      <w:bodyDiv w:val="1"/>
      <w:marLeft w:val="0"/>
      <w:marRight w:val="0"/>
      <w:marTop w:val="0"/>
      <w:marBottom w:val="0"/>
      <w:divBdr>
        <w:top w:val="none" w:sz="0" w:space="0" w:color="auto"/>
        <w:left w:val="none" w:sz="0" w:space="0" w:color="auto"/>
        <w:bottom w:val="none" w:sz="0" w:space="0" w:color="auto"/>
        <w:right w:val="none" w:sz="0" w:space="0" w:color="auto"/>
      </w:divBdr>
    </w:div>
    <w:div w:id="1497918129">
      <w:bodyDiv w:val="1"/>
      <w:marLeft w:val="0"/>
      <w:marRight w:val="0"/>
      <w:marTop w:val="0"/>
      <w:marBottom w:val="0"/>
      <w:divBdr>
        <w:top w:val="none" w:sz="0" w:space="0" w:color="auto"/>
        <w:left w:val="none" w:sz="0" w:space="0" w:color="auto"/>
        <w:bottom w:val="none" w:sz="0" w:space="0" w:color="auto"/>
        <w:right w:val="none" w:sz="0" w:space="0" w:color="auto"/>
      </w:divBdr>
    </w:div>
    <w:div w:id="1757554337">
      <w:bodyDiv w:val="1"/>
      <w:marLeft w:val="0"/>
      <w:marRight w:val="0"/>
      <w:marTop w:val="0"/>
      <w:marBottom w:val="0"/>
      <w:divBdr>
        <w:top w:val="none" w:sz="0" w:space="0" w:color="auto"/>
        <w:left w:val="none" w:sz="0" w:space="0" w:color="auto"/>
        <w:bottom w:val="none" w:sz="0" w:space="0" w:color="auto"/>
        <w:right w:val="none" w:sz="0" w:space="0" w:color="auto"/>
      </w:divBdr>
    </w:div>
    <w:div w:id="197128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6AD30-836C-4340-A71F-A45615A12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58060-30EA-416C-B492-3819875236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EF605A-0A04-4A54-9074-4726E9277AEE}">
  <ds:schemaRefs>
    <ds:schemaRef ds:uri="http://schemas.microsoft.com/sharepoint/v3/contenttype/forms"/>
  </ds:schemaRefs>
</ds:datastoreItem>
</file>

<file path=customXml/itemProps4.xml><?xml version="1.0" encoding="utf-8"?>
<ds:datastoreItem xmlns:ds="http://schemas.openxmlformats.org/officeDocument/2006/customXml" ds:itemID="{2719BCE8-0BD4-46D0-943B-57078B96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4697</Words>
  <Characters>24562</Characters>
  <Application>Microsoft Office Word</Application>
  <DocSecurity>0</DocSecurity>
  <Lines>668</Lines>
  <Paragraphs>302</Paragraphs>
  <ScaleCrop>false</ScaleCrop>
  <Company/>
  <LinksUpToDate>false</LinksUpToDate>
  <CharactersWithSpaces>29122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Sitko Jacek (ORL)</dc:creator>
  <cp:keywords/>
  <dc:description/>
  <cp:lastModifiedBy>Gawłowska Justyna (ORL)</cp:lastModifiedBy>
  <cp:revision>10</cp:revision>
  <cp:lastPrinted>2025-11-19T01:04:00Z</cp:lastPrinted>
  <dcterms:created xsi:type="dcterms:W3CDTF">2026-07-13T10:47:00Z</dcterms:created>
  <dcterms:modified xsi:type="dcterms:W3CDTF">2026-07-27T15:12:00Z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2025-10-29T10:34:26Z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a82c2c64-55be-4575-958a-ed30211c2b5f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0x0101001D06C41978F31C409F4A7F68FF64A6EE</vt:lpwstr>
  </property>
  <property fmtid="{D5CDD505-2E9C-101B-9397-08002B2CF9AE}" pid="11" name="docLang">
    <vt:lpwstr>pl</vt:lpwstr>
  </property>
</Properties>
</file>